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A4A" w:rsidRDefault="00074A4A" w:rsidP="00074A4A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eastAsia="it-IT"/>
        </w:rPr>
      </w:pPr>
      <w:r>
        <w:rPr>
          <w:rFonts w:ascii="Times New Roman" w:eastAsia="Times New Roman" w:hAnsi="Times New Roman"/>
          <w:sz w:val="32"/>
          <w:szCs w:val="32"/>
          <w:lang w:eastAsia="it-IT"/>
        </w:rPr>
        <w:t xml:space="preserve">                                         </w:t>
      </w:r>
      <w:r>
        <w:rPr>
          <w:rFonts w:ascii="Times New Roman" w:eastAsia="Times New Roman" w:hAnsi="Times New Roman"/>
          <w:sz w:val="32"/>
          <w:szCs w:val="32"/>
          <w:lang w:eastAsia="it-IT"/>
        </w:rPr>
        <w:t>Programma di italiano</w:t>
      </w:r>
    </w:p>
    <w:p w:rsidR="00074A4A" w:rsidRDefault="00074A4A" w:rsidP="00074A4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 w:rsidRPr="00965EB9">
        <w:rPr>
          <w:rFonts w:ascii="Times New Roman" w:eastAsia="Times New Roman" w:hAnsi="Times New Roman"/>
          <w:sz w:val="28"/>
          <w:szCs w:val="28"/>
          <w:lang w:eastAsia="it-IT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                        Liceo scientifico benedetto croce II</w:t>
      </w:r>
      <w:r>
        <w:rPr>
          <w:rFonts w:ascii="Times New Roman" w:eastAsia="Times New Roman" w:hAnsi="Times New Roman"/>
          <w:sz w:val="28"/>
          <w:szCs w:val="28"/>
          <w:lang w:eastAsia="it-IT"/>
        </w:rPr>
        <w:t>IG    anno 2013/2014</w:t>
      </w:r>
    </w:p>
    <w:p w:rsidR="00074A4A" w:rsidRDefault="00074A4A" w:rsidP="00074A4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</w:p>
    <w:p w:rsidR="00074A4A" w:rsidRPr="00D2079C" w:rsidRDefault="00074A4A" w:rsidP="00074A4A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it-IT"/>
        </w:rPr>
      </w:pPr>
      <w:r w:rsidRPr="00D2079C">
        <w:rPr>
          <w:rFonts w:ascii="Times New Roman" w:eastAsia="Times New Roman" w:hAnsi="Times New Roman"/>
          <w:sz w:val="30"/>
          <w:szCs w:val="30"/>
          <w:lang w:eastAsia="it-IT"/>
        </w:rPr>
        <w:t>Programma di letteratura</w:t>
      </w:r>
    </w:p>
    <w:p w:rsidR="00074A4A" w:rsidRPr="00D2079C" w:rsidRDefault="00074A4A" w:rsidP="00074A4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it-IT"/>
        </w:rPr>
      </w:pPr>
      <w:r w:rsidRPr="00D2079C">
        <w:rPr>
          <w:rFonts w:ascii="Times New Roman" w:eastAsia="Times New Roman" w:hAnsi="Times New Roman"/>
          <w:sz w:val="26"/>
          <w:szCs w:val="26"/>
          <w:lang w:eastAsia="it-IT"/>
        </w:rPr>
        <w:t>Libro di testo:</w:t>
      </w:r>
      <w:r w:rsidR="00E92557" w:rsidRPr="00D2079C">
        <w:rPr>
          <w:rFonts w:ascii="Times New Roman" w:eastAsia="Times New Roman" w:hAnsi="Times New Roman"/>
          <w:sz w:val="26"/>
          <w:szCs w:val="26"/>
          <w:lang w:eastAsia="it-IT"/>
        </w:rPr>
        <w:t xml:space="preserve"> “Leggere come io l’intendo...” 1 (dalle origini all’età comunale), “Leggere come io l’intendo...” 2 (Umanesimo e Rinascimento);  casa editrice: Edizioni Scolastiche Bruno Mondadori.</w:t>
      </w:r>
    </w:p>
    <w:p w:rsidR="00D2079C" w:rsidRDefault="00D2079C" w:rsidP="00D2079C">
      <w:pPr>
        <w:pStyle w:val="Paragrafoelenco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</w:p>
    <w:p w:rsidR="00074A4A" w:rsidRDefault="00074A4A" w:rsidP="00074A4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La Scuola siciliana</w:t>
      </w:r>
    </w:p>
    <w:p w:rsidR="00074A4A" w:rsidRPr="00D2079C" w:rsidRDefault="00D2079C" w:rsidP="00D2079C">
      <w:pPr>
        <w:pStyle w:val="Paragrafoelenco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 w:rsidRPr="00D2079C">
        <w:rPr>
          <w:rFonts w:ascii="Times New Roman" w:eastAsia="Times New Roman" w:hAnsi="Times New Roman"/>
          <w:sz w:val="28"/>
          <w:szCs w:val="28"/>
          <w:lang w:eastAsia="it-IT"/>
        </w:rPr>
        <w:t>Giacomo da Lentini: vita e opere (analisi di “</w:t>
      </w:r>
      <w:r w:rsidR="00074A4A" w:rsidRPr="00D2079C">
        <w:rPr>
          <w:rFonts w:ascii="Times New Roman" w:eastAsia="Times New Roman" w:hAnsi="Times New Roman"/>
          <w:sz w:val="28"/>
          <w:szCs w:val="28"/>
          <w:lang w:eastAsia="it-IT"/>
        </w:rPr>
        <w:t>Meravigliosamente</w:t>
      </w:r>
      <w:r w:rsidRPr="00D2079C">
        <w:rPr>
          <w:rFonts w:ascii="Times New Roman" w:eastAsia="Times New Roman" w:hAnsi="Times New Roman"/>
          <w:sz w:val="28"/>
          <w:szCs w:val="28"/>
          <w:lang w:eastAsia="it-IT"/>
        </w:rPr>
        <w:t>”)</w:t>
      </w:r>
      <w:r w:rsidR="001A64EA">
        <w:rPr>
          <w:rFonts w:ascii="Times New Roman" w:eastAsia="Times New Roman" w:hAnsi="Times New Roman"/>
          <w:sz w:val="28"/>
          <w:szCs w:val="28"/>
          <w:lang w:eastAsia="it-IT"/>
        </w:rPr>
        <w:t>.</w:t>
      </w:r>
      <w:r w:rsidRPr="00D2079C">
        <w:rPr>
          <w:rFonts w:ascii="Times New Roman" w:eastAsia="Times New Roman" w:hAnsi="Times New Roman"/>
          <w:sz w:val="28"/>
          <w:szCs w:val="28"/>
          <w:lang w:eastAsia="it-IT"/>
        </w:rPr>
        <w:t xml:space="preserve"> </w:t>
      </w:r>
      <w:r w:rsidR="00074A4A" w:rsidRPr="00D2079C">
        <w:rPr>
          <w:rFonts w:ascii="Times New Roman" w:eastAsia="Times New Roman" w:hAnsi="Times New Roman"/>
          <w:sz w:val="28"/>
          <w:szCs w:val="28"/>
          <w:lang w:eastAsia="it-IT"/>
        </w:rPr>
        <w:t xml:space="preserve"> </w:t>
      </w:r>
    </w:p>
    <w:p w:rsidR="00D2079C" w:rsidRDefault="00D2079C" w:rsidP="00D2079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La poesia comico-realista</w:t>
      </w:r>
    </w:p>
    <w:p w:rsidR="00D2079C" w:rsidRDefault="00D2079C" w:rsidP="00D2079C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Cielo D’Alcamo: vita e opere (analisi di “Rosa fresca aulentissima”)</w:t>
      </w:r>
      <w:r w:rsidR="001A64EA">
        <w:rPr>
          <w:rFonts w:ascii="Times New Roman" w:eastAsia="Times New Roman" w:hAnsi="Times New Roman"/>
          <w:sz w:val="28"/>
          <w:szCs w:val="28"/>
          <w:lang w:eastAsia="it-IT"/>
        </w:rPr>
        <w:t>.</w:t>
      </w:r>
    </w:p>
    <w:p w:rsidR="00D2079C" w:rsidRDefault="00D2079C" w:rsidP="00D2079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Dante Alighieri</w:t>
      </w:r>
    </w:p>
    <w:p w:rsidR="00D2079C" w:rsidRDefault="00C0010D" w:rsidP="00D2079C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Vita e opere.</w:t>
      </w:r>
    </w:p>
    <w:p w:rsidR="00C0010D" w:rsidRDefault="00C0010D" w:rsidP="00D2079C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La Vita Nova: analisi dell’opera; brani analizzati: “Il libro della memoria e l’apparizione di Beatrice” 1,1-11; “Tanto gentile e onesta pare” 17,1-7; “Oltre la spera che più larga gira” 30.</w:t>
      </w:r>
    </w:p>
    <w:p w:rsidR="00C0010D" w:rsidRDefault="00C0010D" w:rsidP="00C0010D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Le Rime:</w:t>
      </w:r>
      <w:r w:rsidRPr="00C0010D">
        <w:t xml:space="preserve"> </w:t>
      </w:r>
      <w:r w:rsidRPr="00C0010D">
        <w:rPr>
          <w:rFonts w:ascii="Times New Roman" w:eastAsia="Times New Roman" w:hAnsi="Times New Roman"/>
          <w:sz w:val="28"/>
          <w:szCs w:val="28"/>
          <w:lang w:eastAsia="it-IT"/>
        </w:rPr>
        <w:t>aspetti generali.</w:t>
      </w:r>
    </w:p>
    <w:p w:rsidR="00C0010D" w:rsidRDefault="00C0010D" w:rsidP="00D2079C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Il Convivio: aspetti generali.</w:t>
      </w:r>
    </w:p>
    <w:p w:rsidR="00C0010D" w:rsidRDefault="00C0010D" w:rsidP="00C0010D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Il De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vulgari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eloquentia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>:</w:t>
      </w:r>
      <w:r w:rsidRPr="00C0010D">
        <w:t xml:space="preserve"> </w:t>
      </w:r>
      <w:r w:rsidRPr="00C0010D">
        <w:rPr>
          <w:rFonts w:ascii="Times New Roman" w:eastAsia="Times New Roman" w:hAnsi="Times New Roman"/>
          <w:sz w:val="28"/>
          <w:szCs w:val="28"/>
          <w:lang w:eastAsia="it-IT"/>
        </w:rPr>
        <w:t>aspetti generali.</w:t>
      </w:r>
    </w:p>
    <w:p w:rsidR="00C0010D" w:rsidRDefault="00C0010D" w:rsidP="00C0010D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De monarchia: pensiero politico del poeta.</w:t>
      </w:r>
    </w:p>
    <w:p w:rsidR="00C0010D" w:rsidRDefault="00C0010D" w:rsidP="00C0010D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Epistola a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Cangrande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della Scala.</w:t>
      </w:r>
    </w:p>
    <w:p w:rsidR="00C0010D" w:rsidRDefault="00C0010D" w:rsidP="00C0010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Francesco Petrarca</w:t>
      </w:r>
    </w:p>
    <w:p w:rsidR="00C0010D" w:rsidRDefault="001A64EA" w:rsidP="00C0010D">
      <w:pPr>
        <w:pStyle w:val="Paragrafoelenco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Vita e opere.</w:t>
      </w:r>
    </w:p>
    <w:p w:rsidR="001A64EA" w:rsidRDefault="001A64EA" w:rsidP="00C0010D">
      <w:pPr>
        <w:pStyle w:val="Paragrafoelenco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Canzoniere: analisi generale della struttura dell’opera e dei temi contenuti. Anali dei brani: “Voi ch’ascoltate in rime sparse il suono”; “Solo et pensoso i più deserti campi”; “Erano i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capei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d’oro a l’aura sparsi”; “Chiare, fresche et dolci acque”; “Italia mia, benché ‘l parlar sia indarno”; “Pace non trovo, et non ò da far guerra”; “La vita fugge, et non s’arresta una hora”; “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Levòmmi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il mio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penser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in parte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ov’era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>”</w:t>
      </w:r>
    </w:p>
    <w:p w:rsidR="001A64EA" w:rsidRDefault="001A64EA" w:rsidP="00C0010D">
      <w:pPr>
        <w:pStyle w:val="Paragrafoelenco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Analisi di un brano tratto dai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Familiares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>: “L’ascensione al Monto Ventoso”</w:t>
      </w:r>
      <w:r w:rsidR="00195475">
        <w:rPr>
          <w:rFonts w:ascii="Times New Roman" w:eastAsia="Times New Roman" w:hAnsi="Times New Roman"/>
          <w:sz w:val="28"/>
          <w:szCs w:val="28"/>
          <w:lang w:eastAsia="it-IT"/>
        </w:rPr>
        <w:t>.</w:t>
      </w:r>
    </w:p>
    <w:p w:rsidR="001A64EA" w:rsidRDefault="00195475" w:rsidP="00C0010D">
      <w:pPr>
        <w:pStyle w:val="Paragrafoelenco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Il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Secretum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>: analisi dell’opera e approfondimento sul dissidio interiore del poeta.</w:t>
      </w:r>
    </w:p>
    <w:p w:rsidR="00195475" w:rsidRDefault="00195475" w:rsidP="00195475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Giovanni Boccaccio</w:t>
      </w:r>
    </w:p>
    <w:p w:rsidR="00195475" w:rsidRDefault="00195475" w:rsidP="00195475">
      <w:pPr>
        <w:pStyle w:val="Paragrafoelenco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Vita e opere.</w:t>
      </w:r>
    </w:p>
    <w:p w:rsidR="00195475" w:rsidRDefault="00195475" w:rsidP="00195475">
      <w:pPr>
        <w:pStyle w:val="Paragrafoelenco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Il Decameron: quadro generale dei contenuti e dei temi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affronatati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>.</w:t>
      </w:r>
    </w:p>
    <w:p w:rsidR="00863E01" w:rsidRDefault="00195475" w:rsidP="00863E01">
      <w:pPr>
        <w:pStyle w:val="Paragrafoelenco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Analisi e l</w:t>
      </w:r>
      <w:r w:rsidR="00863E01">
        <w:rPr>
          <w:rFonts w:ascii="Times New Roman" w:eastAsia="Times New Roman" w:hAnsi="Times New Roman"/>
          <w:sz w:val="28"/>
          <w:szCs w:val="28"/>
          <w:lang w:eastAsia="it-IT"/>
        </w:rPr>
        <w:t>ettura di vari brani: il Proemio;</w:t>
      </w: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Ser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Ciappelletto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1,1; Andreuccio da Perugia 2, 5; </w:t>
      </w:r>
      <w:r w:rsidR="00863E01">
        <w:rPr>
          <w:rFonts w:ascii="Times New Roman" w:eastAsia="Times New Roman" w:hAnsi="Times New Roman"/>
          <w:sz w:val="28"/>
          <w:szCs w:val="28"/>
          <w:lang w:eastAsia="it-IT"/>
        </w:rPr>
        <w:t xml:space="preserve">Tancredi e </w:t>
      </w:r>
      <w:proofErr w:type="spellStart"/>
      <w:r w:rsidR="00863E01">
        <w:rPr>
          <w:rFonts w:ascii="Times New Roman" w:eastAsia="Times New Roman" w:hAnsi="Times New Roman"/>
          <w:sz w:val="28"/>
          <w:szCs w:val="28"/>
          <w:lang w:eastAsia="it-IT"/>
        </w:rPr>
        <w:t>Ghismunda</w:t>
      </w:r>
      <w:proofErr w:type="spellEnd"/>
      <w:r w:rsidR="00863E01">
        <w:rPr>
          <w:rFonts w:ascii="Times New Roman" w:eastAsia="Times New Roman" w:hAnsi="Times New Roman"/>
          <w:sz w:val="28"/>
          <w:szCs w:val="28"/>
          <w:lang w:eastAsia="it-IT"/>
        </w:rPr>
        <w:t xml:space="preserve"> 4,1; </w:t>
      </w: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Elisabetta da Messina 4,5; Federico degli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Alberighi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5,9</w:t>
      </w:r>
      <w:r w:rsidR="00863E01">
        <w:rPr>
          <w:rFonts w:ascii="Times New Roman" w:eastAsia="Times New Roman" w:hAnsi="Times New Roman"/>
          <w:sz w:val="28"/>
          <w:szCs w:val="28"/>
          <w:lang w:eastAsia="it-IT"/>
        </w:rPr>
        <w:t xml:space="preserve">; </w:t>
      </w:r>
      <w:proofErr w:type="spellStart"/>
      <w:r w:rsidR="00863E01">
        <w:rPr>
          <w:rFonts w:ascii="Times New Roman" w:eastAsia="Times New Roman" w:hAnsi="Times New Roman"/>
          <w:sz w:val="28"/>
          <w:szCs w:val="28"/>
          <w:lang w:eastAsia="it-IT"/>
        </w:rPr>
        <w:t>Chichibio</w:t>
      </w:r>
      <w:proofErr w:type="spellEnd"/>
      <w:r w:rsidR="00863E01">
        <w:rPr>
          <w:rFonts w:ascii="Times New Roman" w:eastAsia="Times New Roman" w:hAnsi="Times New Roman"/>
          <w:sz w:val="28"/>
          <w:szCs w:val="28"/>
          <w:lang w:eastAsia="it-IT"/>
        </w:rPr>
        <w:t xml:space="preserve"> e la gru 6,4; Frate Cipolla 6,10; Griselda 10,10.  ( i capitoli sono stati letti sia in versione originale sia nella versione parafrasata da Aldo Busi).</w:t>
      </w:r>
    </w:p>
    <w:p w:rsidR="00863E01" w:rsidRDefault="00863E01" w:rsidP="00863E01">
      <w:pPr>
        <w:pStyle w:val="Paragrafoelenco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Rapporto tra Boccaccio e Pasolini.</w:t>
      </w:r>
    </w:p>
    <w:p w:rsidR="00863E01" w:rsidRDefault="00C72932" w:rsidP="00C72932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lastRenderedPageBreak/>
        <w:t xml:space="preserve">Umanesimo e Rinascimento: </w:t>
      </w:r>
      <w:r>
        <w:rPr>
          <w:rFonts w:ascii="Times New Roman" w:eastAsia="Times New Roman" w:hAnsi="Times New Roman"/>
          <w:sz w:val="28"/>
          <w:szCs w:val="28"/>
          <w:lang w:eastAsia="it-IT"/>
        </w:rPr>
        <w:tab/>
        <w:t>q</w:t>
      </w:r>
      <w:r w:rsidRPr="00C72932">
        <w:rPr>
          <w:rFonts w:ascii="Times New Roman" w:eastAsia="Times New Roman" w:hAnsi="Times New Roman"/>
          <w:sz w:val="28"/>
          <w:szCs w:val="28"/>
          <w:lang w:eastAsia="it-IT"/>
        </w:rPr>
        <w:t>uadro storico, politico, sociale e culturale</w:t>
      </w:r>
      <w:r>
        <w:rPr>
          <w:rFonts w:ascii="Times New Roman" w:eastAsia="Times New Roman" w:hAnsi="Times New Roman"/>
          <w:sz w:val="28"/>
          <w:szCs w:val="28"/>
          <w:lang w:eastAsia="it-IT"/>
        </w:rPr>
        <w:t>.</w:t>
      </w:r>
    </w:p>
    <w:p w:rsidR="00C72932" w:rsidRPr="00C72932" w:rsidRDefault="00C72932" w:rsidP="00C72932">
      <w:pPr>
        <w:pStyle w:val="Paragrafoelenco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Differenze tra Umanesimo latino, volgare e civile.</w:t>
      </w:r>
    </w:p>
    <w:p w:rsidR="00C72932" w:rsidRDefault="00C72932" w:rsidP="00C72932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Lorenzo De Medici: vita e opere ( Il trionfo di Bacco e Arianna)</w:t>
      </w:r>
    </w:p>
    <w:p w:rsidR="00C72932" w:rsidRDefault="00C72932" w:rsidP="00C72932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Angelo Poliziano: vita e opere (I’</w:t>
      </w:r>
      <w:r w:rsidR="00C11F23">
        <w:rPr>
          <w:rFonts w:ascii="Times New Roman" w:eastAsia="Times New Roman" w:hAnsi="Times New Roman"/>
          <w:sz w:val="28"/>
          <w:szCs w:val="28"/>
          <w:lang w:eastAsia="it-IT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it-IT"/>
        </w:rPr>
        <w:t>mi trovai, fanciulle, un bel mattino)</w:t>
      </w:r>
    </w:p>
    <w:p w:rsidR="00C72932" w:rsidRDefault="00C72932" w:rsidP="00C72932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Iacopo Sannazaro: vita e opere ( Arcadia )</w:t>
      </w:r>
    </w:p>
    <w:p w:rsidR="00863E01" w:rsidRDefault="00C72932" w:rsidP="00990AD1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Pietro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Bembo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: </w:t>
      </w:r>
      <w:r w:rsidR="00990AD1">
        <w:rPr>
          <w:rFonts w:ascii="Times New Roman" w:eastAsia="Times New Roman" w:hAnsi="Times New Roman"/>
          <w:sz w:val="28"/>
          <w:szCs w:val="28"/>
          <w:lang w:eastAsia="it-IT"/>
        </w:rPr>
        <w:t>vita e opere (Prose della Volgar Lingua)</w:t>
      </w:r>
    </w:p>
    <w:p w:rsidR="00990AD1" w:rsidRDefault="00990AD1" w:rsidP="00990AD1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Baldassar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Castiglione: </w:t>
      </w:r>
      <w:r w:rsidR="00C11F23">
        <w:rPr>
          <w:rFonts w:ascii="Times New Roman" w:eastAsia="Times New Roman" w:hAnsi="Times New Roman"/>
          <w:sz w:val="28"/>
          <w:szCs w:val="28"/>
          <w:lang w:eastAsia="it-IT"/>
        </w:rPr>
        <w:t>vita e opere</w:t>
      </w: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(Il libro del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Cortegiano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>)</w:t>
      </w:r>
    </w:p>
    <w:p w:rsidR="00990AD1" w:rsidRDefault="00990AD1" w:rsidP="00990AD1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Niccolò Machiavelli</w:t>
      </w:r>
    </w:p>
    <w:p w:rsidR="00990AD1" w:rsidRDefault="00990AD1" w:rsidP="00990AD1">
      <w:pPr>
        <w:pStyle w:val="Paragrafoelenco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Vita e opere.</w:t>
      </w:r>
    </w:p>
    <w:p w:rsidR="00990AD1" w:rsidRDefault="00990AD1" w:rsidP="00990AD1">
      <w:pPr>
        <w:pStyle w:val="Paragrafoelenco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Pensiero politico</w:t>
      </w:r>
    </w:p>
    <w:p w:rsidR="00990AD1" w:rsidRDefault="00990AD1" w:rsidP="00990AD1">
      <w:pPr>
        <w:pStyle w:val="Paragrafoelenco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Analisi di “Lettera a Francesco Vettori del 10 dicembre 1513”</w:t>
      </w:r>
    </w:p>
    <w:p w:rsidR="00990AD1" w:rsidRDefault="00990AD1" w:rsidP="00990AD1">
      <w:pPr>
        <w:pStyle w:val="Paragrafoelenco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Il Principe: analisi generale dell’opera. Lettura e analisi della dedica e dei capitoli: 1(I diversi tipi di principato); 15 (le qualità positive e negative del Principe); 18 (la lealtà del principe); 25 ( la sfida della fortuna); 26 ( L’ appello per il riscatto dell’Italia)</w:t>
      </w:r>
    </w:p>
    <w:p w:rsidR="00990AD1" w:rsidRDefault="00990AD1" w:rsidP="00990AD1">
      <w:pPr>
        <w:pStyle w:val="Paragrafoelenco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La mandragola: analisi e lettura della scena 2 e 6, atto II.</w:t>
      </w:r>
    </w:p>
    <w:p w:rsidR="00990AD1" w:rsidRDefault="00990AD1" w:rsidP="00990AD1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Francesco Guicciardini</w:t>
      </w:r>
    </w:p>
    <w:p w:rsidR="00990AD1" w:rsidRDefault="00990AD1" w:rsidP="00990AD1">
      <w:pPr>
        <w:pStyle w:val="Paragrafoelenco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Vita e opere.</w:t>
      </w:r>
    </w:p>
    <w:p w:rsidR="00990AD1" w:rsidRDefault="0072248E" w:rsidP="00990AD1">
      <w:pPr>
        <w:pStyle w:val="Paragrafoelenco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Pensiero politico</w:t>
      </w:r>
    </w:p>
    <w:p w:rsidR="0072248E" w:rsidRDefault="0072248E" w:rsidP="00990AD1">
      <w:pPr>
        <w:pStyle w:val="Paragrafoelenco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I Ricordi: analisi dei ricordi 28, 30, 32, 35, 37, 66.</w:t>
      </w:r>
    </w:p>
    <w:p w:rsidR="0072248E" w:rsidRDefault="0072248E" w:rsidP="00990AD1">
      <w:pPr>
        <w:pStyle w:val="Paragrafoelenco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Storia d’Italia: caratteristiche generali dell’opera.</w:t>
      </w:r>
    </w:p>
    <w:p w:rsidR="0072248E" w:rsidRDefault="0072248E" w:rsidP="0072248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</w:p>
    <w:p w:rsidR="0072248E" w:rsidRDefault="0072248E" w:rsidP="0072248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Programma della Divina Commedia</w:t>
      </w:r>
    </w:p>
    <w:p w:rsidR="0072248E" w:rsidRDefault="0072248E" w:rsidP="0072248E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Divina Commedia: </w:t>
      </w:r>
      <w:r w:rsidRPr="0072248E">
        <w:rPr>
          <w:rFonts w:ascii="Times New Roman" w:eastAsia="Times New Roman" w:hAnsi="Times New Roman"/>
          <w:sz w:val="28"/>
          <w:szCs w:val="28"/>
          <w:lang w:eastAsia="it-IT"/>
        </w:rPr>
        <w:t>struttura, contenuti, sis</w:t>
      </w:r>
      <w:r>
        <w:rPr>
          <w:rFonts w:ascii="Times New Roman" w:eastAsia="Times New Roman" w:hAnsi="Times New Roman"/>
          <w:sz w:val="28"/>
          <w:szCs w:val="28"/>
          <w:lang w:eastAsia="it-IT"/>
        </w:rPr>
        <w:t>tema narrativo e analisi dei personaggi</w:t>
      </w:r>
      <w:r w:rsidRPr="0072248E">
        <w:rPr>
          <w:rFonts w:ascii="Times New Roman" w:eastAsia="Times New Roman" w:hAnsi="Times New Roman"/>
          <w:sz w:val="28"/>
          <w:szCs w:val="28"/>
          <w:lang w:eastAsia="it-IT"/>
        </w:rPr>
        <w:t>;</w:t>
      </w:r>
    </w:p>
    <w:p w:rsidR="0072248E" w:rsidRDefault="0072248E" w:rsidP="0072248E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Concezione figurale di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Auerbach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e il poema visionario di Eliot.</w:t>
      </w:r>
    </w:p>
    <w:p w:rsidR="0072248E" w:rsidRDefault="0072248E" w:rsidP="0072248E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Inferno: struttura e suddivisione delle pene.</w:t>
      </w:r>
    </w:p>
    <w:p w:rsidR="0072248E" w:rsidRDefault="0072248E" w:rsidP="0072248E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Analisi e lettura dei canti 1, 3, 5, 6, 10, 13, 15, 26, 33 e 34.</w:t>
      </w:r>
    </w:p>
    <w:p w:rsidR="0072248E" w:rsidRDefault="0072248E" w:rsidP="0072248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</w:p>
    <w:p w:rsidR="0072248E" w:rsidRDefault="0072248E" w:rsidP="0072248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Programma del Fu Mattia Pascal</w:t>
      </w:r>
    </w:p>
    <w:p w:rsidR="0072248E" w:rsidRDefault="0072248E" w:rsidP="0072248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Luigi Pirandello: vita e opere</w:t>
      </w:r>
    </w:p>
    <w:p w:rsidR="0072248E" w:rsidRDefault="0072248E" w:rsidP="0072248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Il fu Mattia Pascal: struttura, contenuti, personaggi. Pensiero dell’autore.</w:t>
      </w:r>
    </w:p>
    <w:p w:rsidR="0072248E" w:rsidRPr="0072248E" w:rsidRDefault="0072248E" w:rsidP="0072248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Lettura e analisi dei 18 capitoli del romanzo.</w:t>
      </w:r>
    </w:p>
    <w:p w:rsidR="0072248E" w:rsidRDefault="0072248E" w:rsidP="0072248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</w:p>
    <w:p w:rsidR="000133D5" w:rsidRDefault="000133D5" w:rsidP="0072248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Libri letti durante il percorso scolastico:</w:t>
      </w:r>
    </w:p>
    <w:p w:rsidR="000133D5" w:rsidRDefault="005E2F9E" w:rsidP="000133D5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Storia di una professoressa,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Vauro</w:t>
      </w:r>
      <w:proofErr w:type="spellEnd"/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Senesi.</w:t>
      </w:r>
    </w:p>
    <w:p w:rsidR="005E2F9E" w:rsidRPr="005E2F9E" w:rsidRDefault="005E2F9E" w:rsidP="005E2F9E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Basta piangere!, Aldo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it-IT"/>
        </w:rPr>
        <w:t>Cazzullo</w:t>
      </w:r>
      <w:proofErr w:type="spellEnd"/>
    </w:p>
    <w:p w:rsidR="00195475" w:rsidRPr="00195475" w:rsidRDefault="00195475" w:rsidP="0019547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</w:p>
    <w:p w:rsidR="00C11F23" w:rsidRDefault="00C11F23" w:rsidP="00C11F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Firma dell’insegnante                                                              Firma degli alunni</w:t>
      </w:r>
    </w:p>
    <w:p w:rsidR="00C11F23" w:rsidRDefault="00C11F23" w:rsidP="00C11F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                                                          _________________</w:t>
      </w:r>
    </w:p>
    <w:p w:rsidR="00BD72A4" w:rsidRPr="00C11F23" w:rsidRDefault="00C11F23" w:rsidP="00C11F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_________________</w:t>
      </w:r>
      <w:bookmarkStart w:id="0" w:name="_GoBack"/>
      <w:bookmarkEnd w:id="0"/>
    </w:p>
    <w:sectPr w:rsidR="00BD72A4" w:rsidRPr="00C11F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A0CC1"/>
    <w:multiLevelType w:val="hybridMultilevel"/>
    <w:tmpl w:val="E6DE92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C4FA3"/>
    <w:multiLevelType w:val="hybridMultilevel"/>
    <w:tmpl w:val="BFACCD76"/>
    <w:lvl w:ilvl="0" w:tplc="F280A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C921DD"/>
    <w:multiLevelType w:val="hybridMultilevel"/>
    <w:tmpl w:val="86108AC6"/>
    <w:lvl w:ilvl="0" w:tplc="F280A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C565B"/>
    <w:multiLevelType w:val="hybridMultilevel"/>
    <w:tmpl w:val="53766940"/>
    <w:lvl w:ilvl="0" w:tplc="F280AAC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BC10199"/>
    <w:multiLevelType w:val="hybridMultilevel"/>
    <w:tmpl w:val="6EE84834"/>
    <w:lvl w:ilvl="0" w:tplc="F280A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E107CE"/>
    <w:multiLevelType w:val="hybridMultilevel"/>
    <w:tmpl w:val="0832A0DE"/>
    <w:lvl w:ilvl="0" w:tplc="F280A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471A2"/>
    <w:multiLevelType w:val="hybridMultilevel"/>
    <w:tmpl w:val="819CC206"/>
    <w:lvl w:ilvl="0" w:tplc="F280A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051ED6"/>
    <w:multiLevelType w:val="hybridMultilevel"/>
    <w:tmpl w:val="7DACB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AD4C8E"/>
    <w:multiLevelType w:val="hybridMultilevel"/>
    <w:tmpl w:val="9C5A9602"/>
    <w:lvl w:ilvl="0" w:tplc="F280A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BA2C73"/>
    <w:multiLevelType w:val="hybridMultilevel"/>
    <w:tmpl w:val="2A847500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439F5A87"/>
    <w:multiLevelType w:val="hybridMultilevel"/>
    <w:tmpl w:val="3AA0748C"/>
    <w:lvl w:ilvl="0" w:tplc="F280A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D94495"/>
    <w:multiLevelType w:val="hybridMultilevel"/>
    <w:tmpl w:val="85E05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D777CD"/>
    <w:multiLevelType w:val="hybridMultilevel"/>
    <w:tmpl w:val="3B48A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9"/>
  </w:num>
  <w:num w:numId="5">
    <w:abstractNumId w:val="12"/>
  </w:num>
  <w:num w:numId="6">
    <w:abstractNumId w:val="11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6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A9C"/>
    <w:rsid w:val="000133D5"/>
    <w:rsid w:val="00015E8D"/>
    <w:rsid w:val="00074A4A"/>
    <w:rsid w:val="00195475"/>
    <w:rsid w:val="001A64EA"/>
    <w:rsid w:val="002C6A9C"/>
    <w:rsid w:val="002F028A"/>
    <w:rsid w:val="004246CE"/>
    <w:rsid w:val="005E2F9E"/>
    <w:rsid w:val="0072248E"/>
    <w:rsid w:val="00863E01"/>
    <w:rsid w:val="00990AD1"/>
    <w:rsid w:val="00BD72A4"/>
    <w:rsid w:val="00C0010D"/>
    <w:rsid w:val="00C11F23"/>
    <w:rsid w:val="00C72932"/>
    <w:rsid w:val="00D2079C"/>
    <w:rsid w:val="00E92557"/>
    <w:rsid w:val="00F1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4A4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46C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46C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4A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4A4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46C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46C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4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serena</cp:lastModifiedBy>
  <cp:revision>2</cp:revision>
  <cp:lastPrinted>2014-05-27T15:48:00Z</cp:lastPrinted>
  <dcterms:created xsi:type="dcterms:W3CDTF">2014-05-27T15:52:00Z</dcterms:created>
  <dcterms:modified xsi:type="dcterms:W3CDTF">2014-05-27T15:52:00Z</dcterms:modified>
</cp:coreProperties>
</file>