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sz w:val="36"/>
          <w:szCs w:val="36"/>
        </w:rPr>
        <w:t>Programma  di Scienze</w:t>
      </w:r>
    </w:p>
    <w:p>
      <w:pPr>
        <w:pStyle w:val="style0"/>
        <w:jc w:val="center"/>
      </w:pPr>
      <w:r>
        <w:rPr>
          <w:sz w:val="32"/>
          <w:szCs w:val="32"/>
        </w:rPr>
        <w:t>Classe I N a. s. 2013/2014</w:t>
      </w:r>
    </w:p>
    <w:p>
      <w:pPr>
        <w:pStyle w:val="style0"/>
      </w:pPr>
      <w:r>
        <w:rPr>
          <w:sz w:val="28"/>
          <w:szCs w:val="28"/>
        </w:rPr>
        <w:t>Scienze della Terra</w:t>
      </w:r>
    </w:p>
    <w:p>
      <w:pPr>
        <w:pStyle w:val="style0"/>
      </w:pPr>
      <w:r>
        <w:rPr>
          <w:sz w:val="26"/>
          <w:szCs w:val="26"/>
        </w:rPr>
        <w:t>La scienza del sistema Terra</w:t>
      </w:r>
    </w:p>
    <w:p>
      <w:pPr>
        <w:pStyle w:val="style0"/>
        <w:numPr>
          <w:ilvl w:val="0"/>
          <w:numId w:val="5"/>
        </w:numPr>
      </w:pPr>
      <w:r>
        <w:rPr/>
        <w:t>La Terra come sistema</w:t>
      </w:r>
    </w:p>
    <w:p>
      <w:pPr>
        <w:pStyle w:val="style0"/>
        <w:numPr>
          <w:ilvl w:val="0"/>
          <w:numId w:val="5"/>
        </w:numPr>
      </w:pPr>
      <w:r>
        <w:rPr/>
        <w:t>Il metodo scientifico</w:t>
      </w:r>
    </w:p>
    <w:p>
      <w:pPr>
        <w:pStyle w:val="style0"/>
        <w:tabs>
          <w:tab w:leader="none" w:pos="30" w:val="left"/>
        </w:tabs>
        <w:ind w:hanging="375" w:left="30" w:right="0"/>
      </w:pPr>
      <w:r>
        <w:rPr>
          <w:sz w:val="26"/>
          <w:szCs w:val="26"/>
        </w:rPr>
        <w:t>La Terra e il cosmo</w:t>
      </w:r>
    </w:p>
    <w:p>
      <w:pPr>
        <w:pStyle w:val="style0"/>
        <w:numPr>
          <w:ilvl w:val="0"/>
          <w:numId w:val="6"/>
        </w:numPr>
      </w:pPr>
      <w:r>
        <w:rPr/>
        <w:t>L'Universo visibile</w:t>
      </w:r>
    </w:p>
    <w:p>
      <w:pPr>
        <w:pStyle w:val="style0"/>
        <w:numPr>
          <w:ilvl w:val="0"/>
          <w:numId w:val="1"/>
        </w:numPr>
      </w:pPr>
      <w:r>
        <w:rPr/>
        <w:t>L' Universo si espande</w:t>
      </w:r>
    </w:p>
    <w:p>
      <w:pPr>
        <w:pStyle w:val="style0"/>
        <w:numPr>
          <w:ilvl w:val="0"/>
          <w:numId w:val="1"/>
        </w:numPr>
      </w:pPr>
      <w:r>
        <w:rPr/>
        <w:t>L' ipotesi del  Big Bang</w:t>
      </w:r>
    </w:p>
    <w:p>
      <w:pPr>
        <w:pStyle w:val="style0"/>
        <w:numPr>
          <w:ilvl w:val="0"/>
          <w:numId w:val="1"/>
        </w:numPr>
      </w:pPr>
      <w:r>
        <w:rPr/>
        <w:t>L' evoluzione dell'Universo</w:t>
      </w:r>
    </w:p>
    <w:p>
      <w:pPr>
        <w:pStyle w:val="style0"/>
        <w:numPr>
          <w:ilvl w:val="0"/>
          <w:numId w:val="1"/>
        </w:numPr>
      </w:pPr>
      <w:r>
        <w:rPr/>
        <w:t xml:space="preserve">Galassie e buchi neri </w:t>
      </w:r>
    </w:p>
    <w:p>
      <w:pPr>
        <w:pStyle w:val="style0"/>
        <w:numPr>
          <w:ilvl w:val="0"/>
          <w:numId w:val="1"/>
        </w:numPr>
      </w:pPr>
      <w:r>
        <w:rPr/>
        <w:t>L'evoluzione delle stelle</w:t>
      </w:r>
    </w:p>
    <w:p>
      <w:pPr>
        <w:pStyle w:val="style0"/>
        <w:tabs>
          <w:tab w:leader="none" w:pos="90" w:val="left"/>
        </w:tabs>
        <w:ind w:hanging="360" w:left="90" w:right="0"/>
      </w:pPr>
      <w:r>
        <w:rPr>
          <w:sz w:val="26"/>
          <w:szCs w:val="26"/>
        </w:rPr>
        <w:t>La Terra e il Sistema solare</w:t>
      </w:r>
    </w:p>
    <w:p>
      <w:pPr>
        <w:pStyle w:val="style0"/>
        <w:numPr>
          <w:ilvl w:val="0"/>
          <w:numId w:val="1"/>
        </w:numPr>
      </w:pPr>
      <w:r>
        <w:rPr/>
        <w:t>L’origine del sistema solare</w:t>
      </w:r>
    </w:p>
    <w:p>
      <w:pPr>
        <w:pStyle w:val="style0"/>
        <w:numPr>
          <w:ilvl w:val="0"/>
          <w:numId w:val="1"/>
        </w:numPr>
      </w:pPr>
      <w:r>
        <w:rPr/>
        <w:t>Il Sole: la sorgente d’energia</w:t>
      </w:r>
    </w:p>
    <w:p>
      <w:pPr>
        <w:pStyle w:val="style0"/>
        <w:numPr>
          <w:ilvl w:val="0"/>
          <w:numId w:val="1"/>
        </w:numPr>
      </w:pPr>
      <w:r>
        <w:rPr/>
        <w:t>I pianeti del sistema solare</w:t>
      </w:r>
    </w:p>
    <w:p>
      <w:pPr>
        <w:pStyle w:val="style0"/>
        <w:numPr>
          <w:ilvl w:val="0"/>
          <w:numId w:val="1"/>
        </w:numPr>
      </w:pPr>
      <w:r>
        <w:rPr/>
        <w:t>I satelliti</w:t>
      </w:r>
    </w:p>
    <w:p>
      <w:pPr>
        <w:pStyle w:val="style0"/>
        <w:numPr>
          <w:ilvl w:val="0"/>
          <w:numId w:val="1"/>
        </w:numPr>
      </w:pPr>
      <w:r>
        <w:rPr/>
        <w:t>I corpi minori presenti nel sistema solare</w:t>
      </w:r>
    </w:p>
    <w:p>
      <w:pPr>
        <w:pStyle w:val="style0"/>
        <w:tabs>
          <w:tab w:leader="none" w:pos="120" w:val="left"/>
        </w:tabs>
        <w:ind w:hanging="360" w:left="120" w:right="0"/>
      </w:pPr>
      <w:r>
        <w:rPr>
          <w:sz w:val="26"/>
          <w:szCs w:val="26"/>
        </w:rPr>
        <w:t>Il Sistema Terra</w:t>
      </w:r>
    </w:p>
    <w:p>
      <w:pPr>
        <w:pStyle w:val="style0"/>
        <w:numPr>
          <w:ilvl w:val="0"/>
          <w:numId w:val="1"/>
        </w:numPr>
      </w:pPr>
      <w:r>
        <w:rPr/>
        <w:t>La forma e le dimensioni della Terra</w:t>
      </w:r>
    </w:p>
    <w:p>
      <w:pPr>
        <w:pStyle w:val="style0"/>
        <w:numPr>
          <w:ilvl w:val="0"/>
          <w:numId w:val="1"/>
        </w:numPr>
      </w:pPr>
      <w:r>
        <w:rPr/>
        <w:t>Il moto di rotazione e i suoi effetti</w:t>
      </w:r>
    </w:p>
    <w:p>
      <w:pPr>
        <w:pStyle w:val="style0"/>
        <w:numPr>
          <w:ilvl w:val="0"/>
          <w:numId w:val="1"/>
        </w:numPr>
      </w:pPr>
      <w:r>
        <w:rPr/>
        <w:t>L'orientamento</w:t>
      </w:r>
    </w:p>
    <w:p>
      <w:pPr>
        <w:pStyle w:val="style0"/>
        <w:numPr>
          <w:ilvl w:val="0"/>
          <w:numId w:val="1"/>
        </w:numPr>
      </w:pPr>
      <w:r>
        <w:rPr/>
        <w:t>Il reticolato geografico</w:t>
      </w:r>
    </w:p>
    <w:p>
      <w:pPr>
        <w:pStyle w:val="style0"/>
        <w:numPr>
          <w:ilvl w:val="0"/>
          <w:numId w:val="1"/>
        </w:numPr>
      </w:pPr>
      <w:r>
        <w:rPr/>
        <w:t>I fusi orari</w:t>
      </w:r>
    </w:p>
    <w:p>
      <w:pPr>
        <w:pStyle w:val="style0"/>
        <w:numPr>
          <w:ilvl w:val="0"/>
          <w:numId w:val="1"/>
        </w:numPr>
      </w:pPr>
      <w:r>
        <w:rPr/>
        <w:t>Il moto di rivoluzione e i suoi effetti</w:t>
      </w:r>
    </w:p>
    <w:p>
      <w:pPr>
        <w:pStyle w:val="style0"/>
      </w:pPr>
      <w:r>
        <w:rPr>
          <w:sz w:val="26"/>
          <w:szCs w:val="26"/>
        </w:rPr>
        <w:t>L'idrosfera continentale e le sue interazioni</w:t>
      </w:r>
    </w:p>
    <w:p>
      <w:pPr>
        <w:pStyle w:val="style0"/>
        <w:numPr>
          <w:ilvl w:val="0"/>
          <w:numId w:val="7"/>
        </w:numPr>
      </w:pPr>
      <w:r>
        <w:rPr/>
        <w:t>La Terra fluida: l'acqua dolce</w:t>
      </w:r>
    </w:p>
    <w:p>
      <w:pPr>
        <w:pStyle w:val="style0"/>
        <w:numPr>
          <w:ilvl w:val="0"/>
          <w:numId w:val="7"/>
        </w:numPr>
      </w:pPr>
      <w:r>
        <w:rPr/>
        <w:t>Le acque superficiali: i corsi d'acqua</w:t>
      </w:r>
    </w:p>
    <w:p>
      <w:pPr>
        <w:pStyle w:val="style0"/>
        <w:numPr>
          <w:ilvl w:val="0"/>
          <w:numId w:val="7"/>
        </w:numPr>
      </w:pPr>
      <w:r>
        <w:rPr/>
        <w:t>Il paesaggio fluviale</w:t>
      </w:r>
    </w:p>
    <w:p>
      <w:pPr>
        <w:pStyle w:val="style0"/>
        <w:numPr>
          <w:ilvl w:val="0"/>
          <w:numId w:val="7"/>
        </w:numPr>
      </w:pPr>
      <w:r>
        <w:rPr/>
        <w:t>L'evoluzione del paesaggio fluviale</w:t>
      </w:r>
    </w:p>
    <w:p>
      <w:pPr>
        <w:pStyle w:val="style0"/>
        <w:numPr>
          <w:ilvl w:val="0"/>
          <w:numId w:val="7"/>
        </w:numPr>
      </w:pPr>
      <w:r>
        <w:rPr/>
        <w:t>I laghi</w:t>
      </w:r>
    </w:p>
    <w:p>
      <w:pPr>
        <w:pStyle w:val="style0"/>
        <w:numPr>
          <w:ilvl w:val="0"/>
          <w:numId w:val="7"/>
        </w:numPr>
      </w:pPr>
      <w:r>
        <w:rPr/>
        <w:t>I laghi e il clima</w:t>
      </w:r>
    </w:p>
    <w:p>
      <w:pPr>
        <w:pStyle w:val="style0"/>
        <w:numPr>
          <w:ilvl w:val="0"/>
          <w:numId w:val="7"/>
        </w:numPr>
      </w:pPr>
      <w:r>
        <w:rPr/>
        <w:t>Le acque sotterranee</w:t>
      </w:r>
    </w:p>
    <w:p>
      <w:pPr>
        <w:pStyle w:val="style0"/>
        <w:numPr>
          <w:ilvl w:val="0"/>
          <w:numId w:val="7"/>
        </w:numPr>
      </w:pPr>
      <w:r>
        <w:rPr/>
        <w:t>Il carsismo</w:t>
      </w:r>
    </w:p>
    <w:p>
      <w:pPr>
        <w:pStyle w:val="style0"/>
        <w:numPr>
          <w:ilvl w:val="0"/>
          <w:numId w:val="7"/>
        </w:numPr>
      </w:pPr>
      <w:r>
        <w:rPr/>
        <w:t>Le acque solide superficiali: i ghiacciai</w:t>
      </w:r>
    </w:p>
    <w:p>
      <w:pPr>
        <w:pStyle w:val="style0"/>
        <w:numPr>
          <w:ilvl w:val="0"/>
          <w:numId w:val="7"/>
        </w:numPr>
      </w:pPr>
      <w:r>
        <w:rPr/>
        <w:t>Il paesaggio glaciale</w:t>
      </w:r>
    </w:p>
    <w:p>
      <w:pPr>
        <w:pStyle w:val="style0"/>
      </w:pPr>
      <w:r>
        <w:rPr/>
      </w:r>
    </w:p>
    <w:p>
      <w:pPr>
        <w:pStyle w:val="style0"/>
      </w:pPr>
      <w:r>
        <w:rPr>
          <w:sz w:val="28"/>
          <w:szCs w:val="28"/>
          <w:u w:val="none"/>
        </w:rPr>
        <w:t>Chimica</w:t>
      </w:r>
    </w:p>
    <w:p>
      <w:pPr>
        <w:pStyle w:val="style0"/>
      </w:pPr>
      <w:r>
        <w:rPr>
          <w:sz w:val="26"/>
          <w:szCs w:val="26"/>
        </w:rPr>
        <w:t>Modulo I: Grandezze e misurazioni in Chimica</w:t>
      </w:r>
    </w:p>
    <w:p>
      <w:pPr>
        <w:pStyle w:val="style0"/>
      </w:pPr>
      <w:r>
        <w:rPr>
          <w:sz w:val="24"/>
          <w:szCs w:val="24"/>
        </w:rPr>
        <w:t>L'esecuzione di misure</w:t>
      </w:r>
    </w:p>
    <w:p>
      <w:pPr>
        <w:pStyle w:val="style0"/>
        <w:numPr>
          <w:ilvl w:val="0"/>
          <w:numId w:val="8"/>
        </w:numPr>
      </w:pPr>
      <w:r>
        <w:rPr/>
        <w:t>Grandezze e unità di misura</w:t>
      </w:r>
    </w:p>
    <w:p>
      <w:pPr>
        <w:pStyle w:val="style0"/>
        <w:numPr>
          <w:ilvl w:val="0"/>
          <w:numId w:val="2"/>
        </w:numPr>
      </w:pPr>
      <w:r>
        <w:rPr/>
        <w:t>Misure dirette e indirette</w:t>
      </w:r>
    </w:p>
    <w:p>
      <w:pPr>
        <w:pStyle w:val="style0"/>
        <w:numPr>
          <w:ilvl w:val="0"/>
          <w:numId w:val="2"/>
        </w:numPr>
      </w:pPr>
      <w:r>
        <w:rPr/>
        <w:t>Misure di volume</w:t>
      </w:r>
    </w:p>
    <w:p>
      <w:pPr>
        <w:pStyle w:val="style0"/>
      </w:pPr>
      <w:r>
        <w:rPr/>
        <w:t>Grandezze essenziali per la Chimica</w:t>
      </w:r>
    </w:p>
    <w:p>
      <w:pPr>
        <w:pStyle w:val="style0"/>
        <w:numPr>
          <w:ilvl w:val="0"/>
          <w:numId w:val="2"/>
        </w:numPr>
      </w:pPr>
      <w:r>
        <w:rPr/>
        <w:t>I gas, i solidi e i liquidi</w:t>
      </w:r>
    </w:p>
    <w:p>
      <w:pPr>
        <w:pStyle w:val="style0"/>
        <w:numPr>
          <w:ilvl w:val="0"/>
          <w:numId w:val="2"/>
        </w:numPr>
      </w:pPr>
      <w:r>
        <w:rPr/>
        <w:t>La massa</w:t>
      </w:r>
    </w:p>
    <w:p>
      <w:pPr>
        <w:pStyle w:val="style0"/>
        <w:numPr>
          <w:ilvl w:val="0"/>
          <w:numId w:val="2"/>
        </w:numPr>
      </w:pPr>
      <w:r>
        <w:rPr/>
        <w:t>La densità</w:t>
      </w:r>
    </w:p>
    <w:p>
      <w:pPr>
        <w:pStyle w:val="style0"/>
        <w:numPr>
          <w:ilvl w:val="0"/>
          <w:numId w:val="2"/>
        </w:numPr>
      </w:pPr>
      <w:r>
        <w:rPr/>
        <w:t>La temperatura</w:t>
      </w:r>
    </w:p>
    <w:p>
      <w:pPr>
        <w:pStyle w:val="style0"/>
        <w:numPr>
          <w:ilvl w:val="0"/>
          <w:numId w:val="2"/>
        </w:numPr>
      </w:pPr>
      <w:r>
        <w:rPr/>
        <w:t>I passaggi di stato</w:t>
      </w:r>
    </w:p>
    <w:p>
      <w:pPr>
        <w:pStyle w:val="style0"/>
        <w:tabs>
          <w:tab w:leader="none" w:pos="0" w:val="left"/>
        </w:tabs>
        <w:ind w:hanging="0" w:left="0" w:right="0"/>
      </w:pPr>
      <w:r>
        <w:rPr/>
      </w:r>
    </w:p>
    <w:p>
      <w:pPr>
        <w:pStyle w:val="style0"/>
        <w:tabs>
          <w:tab w:leader="none" w:pos="0" w:val="left"/>
        </w:tabs>
        <w:ind w:hanging="0" w:left="0" w:right="0"/>
      </w:pPr>
      <w:r>
        <w:rPr/>
      </w:r>
    </w:p>
    <w:p>
      <w:pPr>
        <w:pStyle w:val="style0"/>
        <w:tabs>
          <w:tab w:leader="none" w:pos="0" w:val="left"/>
        </w:tabs>
        <w:ind w:hanging="0" w:left="0" w:right="0"/>
      </w:pPr>
      <w:r>
        <w:rPr/>
      </w:r>
    </w:p>
    <w:p>
      <w:pPr>
        <w:pStyle w:val="style0"/>
        <w:tabs>
          <w:tab w:leader="none" w:pos="0" w:val="left"/>
        </w:tabs>
        <w:ind w:hanging="0" w:left="0" w:right="0"/>
      </w:pPr>
      <w:r>
        <w:rPr>
          <w:sz w:val="26"/>
          <w:szCs w:val="26"/>
          <w:u w:val="none"/>
        </w:rPr>
        <w:t>Modulo 2: Miscugli , sostanze pure, atomi</w:t>
      </w:r>
    </w:p>
    <w:p>
      <w:pPr>
        <w:pStyle w:val="style0"/>
        <w:tabs>
          <w:tab w:leader="none" w:pos="0" w:val="left"/>
        </w:tabs>
        <w:ind w:hanging="0" w:left="0" w:right="0"/>
      </w:pPr>
      <w:r>
        <w:rPr>
          <w:sz w:val="24"/>
          <w:szCs w:val="24"/>
        </w:rPr>
        <w:t>Dai miscugli agli elementi</w:t>
      </w:r>
    </w:p>
    <w:p>
      <w:pPr>
        <w:pStyle w:val="style0"/>
        <w:numPr>
          <w:ilvl w:val="0"/>
          <w:numId w:val="2"/>
        </w:numPr>
      </w:pPr>
      <w:r>
        <w:rPr/>
        <w:t>I miscugli</w:t>
      </w:r>
    </w:p>
    <w:p>
      <w:pPr>
        <w:pStyle w:val="style0"/>
        <w:numPr>
          <w:ilvl w:val="0"/>
          <w:numId w:val="2"/>
        </w:numPr>
      </w:pPr>
      <w:r>
        <w:rPr/>
        <w:t>Le soluzionii</w:t>
      </w:r>
    </w:p>
    <w:p>
      <w:pPr>
        <w:pStyle w:val="style0"/>
        <w:numPr>
          <w:ilvl w:val="0"/>
          <w:numId w:val="3"/>
        </w:numPr>
      </w:pPr>
      <w:r>
        <w:rPr/>
        <w:t>Soluzioni sature e solubilità</w:t>
      </w:r>
    </w:p>
    <w:p>
      <w:pPr>
        <w:pStyle w:val="style0"/>
        <w:numPr>
          <w:ilvl w:val="0"/>
          <w:numId w:val="3"/>
        </w:numPr>
      </w:pPr>
      <w:r>
        <w:rPr/>
        <w:t>Metodi di separazione di miscugli</w:t>
      </w:r>
    </w:p>
    <w:p>
      <w:pPr>
        <w:pStyle w:val="style0"/>
        <w:numPr>
          <w:ilvl w:val="0"/>
          <w:numId w:val="3"/>
        </w:numPr>
      </w:pPr>
      <w:r>
        <w:rPr/>
        <w:t xml:space="preserve">Le sostanze pure </w:t>
      </w:r>
    </w:p>
    <w:p>
      <w:pPr>
        <w:pStyle w:val="style0"/>
        <w:numPr>
          <w:ilvl w:val="0"/>
          <w:numId w:val="3"/>
        </w:numPr>
      </w:pPr>
      <w:r>
        <w:rPr/>
        <w:t>Gli elementi</w:t>
      </w:r>
    </w:p>
    <w:p>
      <w:pPr>
        <w:pStyle w:val="style0"/>
        <w:numPr>
          <w:ilvl w:val="0"/>
          <w:numId w:val="3"/>
        </w:numPr>
      </w:pPr>
      <w:r>
        <w:rPr/>
        <w:t>I nomi e i simboli degli elementi</w:t>
      </w:r>
    </w:p>
    <w:p>
      <w:pPr>
        <w:pStyle w:val="style0"/>
        <w:tabs>
          <w:tab w:leader="none" w:pos="45" w:val="left"/>
        </w:tabs>
        <w:ind w:hanging="360" w:left="45" w:right="0"/>
      </w:pPr>
      <w:r>
        <w:rPr>
          <w:sz w:val="24"/>
          <w:szCs w:val="24"/>
        </w:rPr>
        <w:t xml:space="preserve">Reazioni, leggi, teorie e modelli       </w:t>
      </w:r>
      <w:r>
        <w:rPr/>
        <w:t xml:space="preserve">        </w:t>
      </w:r>
    </w:p>
    <w:p>
      <w:pPr>
        <w:pStyle w:val="style0"/>
        <w:numPr>
          <w:ilvl w:val="0"/>
          <w:numId w:val="4"/>
        </w:numPr>
      </w:pPr>
      <w:r>
        <w:rPr/>
        <w:t>Le trasformazioni chimiche e fisiche</w:t>
      </w:r>
    </w:p>
    <w:p>
      <w:pPr>
        <w:pStyle w:val="style0"/>
        <w:numPr>
          <w:ilvl w:val="0"/>
          <w:numId w:val="4"/>
        </w:numPr>
      </w:pPr>
      <w:r>
        <w:rPr/>
        <w:t>La legge di conservazione della massa.</w:t>
      </w:r>
    </w:p>
    <w:p>
      <w:pPr>
        <w:pStyle w:val="style0"/>
        <w:numPr>
          <w:ilvl w:val="0"/>
          <w:numId w:val="4"/>
        </w:numPr>
      </w:pPr>
      <w:r>
        <w:rPr/>
        <w:t>La legge delle proporzioni definite</w:t>
      </w:r>
    </w:p>
    <w:p>
      <w:pPr>
        <w:pStyle w:val="style0"/>
        <w:numPr>
          <w:ilvl w:val="0"/>
          <w:numId w:val="4"/>
        </w:numPr>
      </w:pPr>
      <w:r>
        <w:rPr/>
        <w:t>Il modello atomico di Dalton</w:t>
      </w:r>
    </w:p>
    <w:p>
      <w:pPr>
        <w:pStyle w:val="style0"/>
        <w:numPr>
          <w:ilvl w:val="0"/>
          <w:numId w:val="4"/>
        </w:numPr>
      </w:pPr>
      <w:r>
        <w:rPr/>
        <w:t>La teoria atomica di Dalton</w:t>
      </w:r>
    </w:p>
    <w:p>
      <w:pPr>
        <w:pStyle w:val="style0"/>
      </w:pPr>
      <w:r>
        <w:rPr>
          <w:sz w:val="24"/>
          <w:szCs w:val="24"/>
        </w:rPr>
        <w:t>Classificazione e nomi di composti</w:t>
      </w:r>
    </w:p>
    <w:p>
      <w:pPr>
        <w:pStyle w:val="style0"/>
        <w:numPr>
          <w:ilvl w:val="0"/>
          <w:numId w:val="4"/>
        </w:numPr>
      </w:pPr>
      <w:r>
        <w:rPr/>
        <w:t>La classificazione generale dei composti</w:t>
      </w:r>
    </w:p>
    <w:p>
      <w:pPr>
        <w:pStyle w:val="style0"/>
        <w:numPr>
          <w:ilvl w:val="0"/>
          <w:numId w:val="4"/>
        </w:numPr>
      </w:pPr>
      <w:r>
        <w:rPr/>
        <w:t>I nomi dei composti inorganici binari</w:t>
      </w:r>
    </w:p>
    <w:p>
      <w:pPr>
        <w:pStyle w:val="style0"/>
        <w:numPr>
          <w:ilvl w:val="0"/>
          <w:numId w:val="4"/>
        </w:numPr>
      </w:pPr>
      <w:r>
        <w:rPr/>
        <w:t>Dal nome corrente alla formula</w:t>
      </w:r>
    </w:p>
    <w:p>
      <w:pPr>
        <w:pStyle w:val="style0"/>
        <w:numPr>
          <w:ilvl w:val="0"/>
          <w:numId w:val="4"/>
        </w:numPr>
      </w:pPr>
      <w:r>
        <w:rPr/>
        <w:t>I nomi degli acidi inorganici</w:t>
      </w:r>
    </w:p>
    <w:p>
      <w:pPr>
        <w:pStyle w:val="style0"/>
        <w:numPr>
          <w:ilvl w:val="0"/>
          <w:numId w:val="4"/>
        </w:numPr>
      </w:pPr>
      <w:r>
        <w:rPr/>
        <w:t>I nomi degli Idrossidi</w:t>
      </w:r>
    </w:p>
    <w:p>
      <w:pPr>
        <w:pStyle w:val="style0"/>
        <w:numPr>
          <w:ilvl w:val="0"/>
          <w:numId w:val="4"/>
        </w:numPr>
      </w:pPr>
      <w:r>
        <w:rPr/>
        <w:t>I nomi dei sali inorganici</w:t>
      </w:r>
    </w:p>
    <w:p>
      <w:pPr>
        <w:pStyle w:val="style0"/>
        <w:jc w:val="right"/>
      </w:pPr>
      <w:r>
        <w:rPr/>
      </w:r>
    </w:p>
    <w:p>
      <w:pPr>
        <w:pStyle w:val="style0"/>
        <w:jc w:val="right"/>
      </w:pPr>
      <w:r>
        <w:rPr/>
      </w:r>
    </w:p>
    <w:p>
      <w:pPr>
        <w:pStyle w:val="style0"/>
        <w:jc w:val="right"/>
      </w:pPr>
      <w:r>
        <w:rPr/>
        <w:t>L'insegnante</w:t>
      </w:r>
    </w:p>
    <w:p>
      <w:pPr>
        <w:pStyle w:val="style0"/>
        <w:jc w:val="right"/>
      </w:pPr>
      <w:r>
        <w:rPr/>
        <w:t>S. Salerno</w:t>
      </w:r>
    </w:p>
    <w:p>
      <w:pPr>
        <w:pStyle w:val="style0"/>
      </w:pPr>
      <w:r>
        <w:rPr/>
        <w:t>Gli/le alunni/e</w:t>
      </w:r>
    </w:p>
    <w:sectPr>
      <w:type w:val="nextPage"/>
      <w:pgSz w:h="16838" w:w="11906"/>
      <w:pgMar w:bottom="1134" w:footer="0" w:gutter="0" w:header="0" w:left="1134" w:right="1134" w:top="1417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  <w:font w:name="Symbol">
    <w:charset w:val="02"/>
    <w:family w:val="auto"/>
    <w:pitch w:val="variable"/>
  </w:font>
  <w:font w:name="Courier New">
    <w:charset w:val="80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80"/>
    <w:family w:val="auto"/>
    <w:pitch w:val="default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144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21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88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360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432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504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76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648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7200"/>
      </w:pPr>
      <w:rPr>
        <w:rFonts w:ascii="Wingdings" w:cs="Wingdings" w:hAnsi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hanging="360" w:left="144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21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88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360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432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504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76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648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7200"/>
      </w:pPr>
      <w:rPr>
        <w:rFonts w:ascii="Wingdings" w:cs="Wingdings" w:hAnsi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hanging="360" w:left="147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219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91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363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435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507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79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651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7230"/>
      </w:pPr>
      <w:rPr>
        <w:rFonts w:ascii="Wingdings" w:cs="Wingdings" w:hAnsi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◦"/>
      <w:lvlJc w:val="left"/>
      <w:pPr>
        <w:tabs>
          <w:tab w:pos="1080" w:val="num"/>
        </w:tabs>
        <w:ind w:hanging="360" w:left="1080"/>
      </w:pPr>
      <w:rPr>
        <w:rFonts w:ascii="OpenSymbol" w:cs="OpenSymbol" w:hAnsi="OpenSymbol" w:hint="default"/>
      </w:rPr>
    </w:lvl>
    <w:lvl w:ilvl="2">
      <w:start w:val="1"/>
      <w:numFmt w:val="bullet"/>
      <w:lvlText w:val="▪"/>
      <w:lvlJc w:val="left"/>
      <w:pPr>
        <w:tabs>
          <w:tab w:pos="1440" w:val="num"/>
        </w:tabs>
        <w:ind w:hanging="360" w:left="1440"/>
      </w:pPr>
      <w:rPr>
        <w:rFonts w:ascii="OpenSymbol" w:cs="OpenSymbol" w:hAnsi="Open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◦"/>
      <w:lvlJc w:val="left"/>
      <w:pPr>
        <w:tabs>
          <w:tab w:pos="2160" w:val="num"/>
        </w:tabs>
        <w:ind w:hanging="360" w:left="2160"/>
      </w:pPr>
      <w:rPr>
        <w:rFonts w:ascii="OpenSymbol" w:cs="OpenSymbol" w:hAnsi="OpenSymbol" w:hint="default"/>
      </w:rPr>
    </w:lvl>
    <w:lvl w:ilvl="5">
      <w:start w:val="1"/>
      <w:numFmt w:val="bullet"/>
      <w:lvlText w:val="▪"/>
      <w:lvlJc w:val="left"/>
      <w:pPr>
        <w:tabs>
          <w:tab w:pos="2520" w:val="num"/>
        </w:tabs>
        <w:ind w:hanging="360" w:left="2520"/>
      </w:pPr>
      <w:rPr>
        <w:rFonts w:ascii="OpenSymbol" w:cs="OpenSymbol" w:hAnsi="Open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◦"/>
      <w:lvlJc w:val="left"/>
      <w:pPr>
        <w:tabs>
          <w:tab w:pos="3240" w:val="num"/>
        </w:tabs>
        <w:ind w:hanging="360" w:left="3240"/>
      </w:pPr>
      <w:rPr>
        <w:rFonts w:ascii="OpenSymbol" w:cs="OpenSymbol" w:hAnsi="OpenSymbol" w:hint="default"/>
      </w:rPr>
    </w:lvl>
    <w:lvl w:ilvl="8">
      <w:start w:val="1"/>
      <w:numFmt w:val="bullet"/>
      <w:lvlText w:val="▪"/>
      <w:lvlJc w:val="left"/>
      <w:pPr>
        <w:tabs>
          <w:tab w:pos="3600" w:val="num"/>
        </w:tabs>
        <w:ind w:hanging="360" w:left="3600"/>
      </w:pPr>
      <w:rPr>
        <w:rFonts w:ascii="OpenSymbol" w:cs="OpenSymbol" w:hAnsi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◦"/>
      <w:lvlJc w:val="left"/>
      <w:pPr>
        <w:tabs>
          <w:tab w:pos="1080" w:val="num"/>
        </w:tabs>
        <w:ind w:hanging="360" w:left="1080"/>
      </w:pPr>
      <w:rPr>
        <w:rFonts w:ascii="OpenSymbol" w:cs="OpenSymbol" w:hAnsi="OpenSymbol" w:hint="default"/>
      </w:rPr>
    </w:lvl>
    <w:lvl w:ilvl="2">
      <w:start w:val="1"/>
      <w:numFmt w:val="bullet"/>
      <w:lvlText w:val="▪"/>
      <w:lvlJc w:val="left"/>
      <w:pPr>
        <w:tabs>
          <w:tab w:pos="1440" w:val="num"/>
        </w:tabs>
        <w:ind w:hanging="360" w:left="1440"/>
      </w:pPr>
      <w:rPr>
        <w:rFonts w:ascii="OpenSymbol" w:cs="OpenSymbol" w:hAnsi="Open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◦"/>
      <w:lvlJc w:val="left"/>
      <w:pPr>
        <w:tabs>
          <w:tab w:pos="2160" w:val="num"/>
        </w:tabs>
        <w:ind w:hanging="360" w:left="2160"/>
      </w:pPr>
      <w:rPr>
        <w:rFonts w:ascii="OpenSymbol" w:cs="OpenSymbol" w:hAnsi="OpenSymbol" w:hint="default"/>
      </w:rPr>
    </w:lvl>
    <w:lvl w:ilvl="5">
      <w:start w:val="1"/>
      <w:numFmt w:val="bullet"/>
      <w:lvlText w:val="▪"/>
      <w:lvlJc w:val="left"/>
      <w:pPr>
        <w:tabs>
          <w:tab w:pos="2520" w:val="num"/>
        </w:tabs>
        <w:ind w:hanging="360" w:left="2520"/>
      </w:pPr>
      <w:rPr>
        <w:rFonts w:ascii="OpenSymbol" w:cs="OpenSymbol" w:hAnsi="Open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◦"/>
      <w:lvlJc w:val="left"/>
      <w:pPr>
        <w:tabs>
          <w:tab w:pos="3240" w:val="num"/>
        </w:tabs>
        <w:ind w:hanging="360" w:left="3240"/>
      </w:pPr>
      <w:rPr>
        <w:rFonts w:ascii="OpenSymbol" w:cs="OpenSymbol" w:hAnsi="OpenSymbol" w:hint="default"/>
      </w:rPr>
    </w:lvl>
    <w:lvl w:ilvl="8">
      <w:start w:val="1"/>
      <w:numFmt w:val="bullet"/>
      <w:lvlText w:val="▪"/>
      <w:lvlJc w:val="left"/>
      <w:pPr>
        <w:tabs>
          <w:tab w:pos="3600" w:val="num"/>
        </w:tabs>
        <w:ind w:hanging="360" w:left="3600"/>
      </w:pPr>
      <w:rPr>
        <w:rFonts w:ascii="OpenSymbol" w:cs="OpenSymbol" w:hAnsi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cs="Symbol" w:hAnsi="Symbol" w:hint="default"/>
      </w:rPr>
    </w:lvl>
    <w:lvl w:ilvl="1">
      <w:start w:val="1"/>
      <w:numFmt w:val="bullet"/>
      <w:lvlText w:val="◦"/>
      <w:lvlJc w:val="left"/>
      <w:pPr>
        <w:tabs>
          <w:tab w:pos="1080" w:val="num"/>
        </w:tabs>
        <w:ind w:hanging="360" w:left="1080"/>
      </w:pPr>
      <w:rPr>
        <w:rFonts w:ascii="OpenSymbol" w:cs="OpenSymbol" w:hAnsi="OpenSymbol" w:hint="default"/>
      </w:rPr>
    </w:lvl>
    <w:lvl w:ilvl="2">
      <w:start w:val="1"/>
      <w:numFmt w:val="bullet"/>
      <w:lvlText w:val="▪"/>
      <w:lvlJc w:val="left"/>
      <w:pPr>
        <w:tabs>
          <w:tab w:pos="1440" w:val="num"/>
        </w:tabs>
        <w:ind w:hanging="360" w:left="1440"/>
      </w:pPr>
      <w:rPr>
        <w:rFonts w:ascii="OpenSymbol" w:cs="OpenSymbol" w:hAnsi="OpenSymbol" w:hint="default"/>
      </w:rPr>
    </w:lvl>
    <w:lvl w:ilvl="3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cs="Symbol" w:hAnsi="Symbol" w:hint="default"/>
      </w:rPr>
    </w:lvl>
    <w:lvl w:ilvl="4">
      <w:start w:val="1"/>
      <w:numFmt w:val="bullet"/>
      <w:lvlText w:val="◦"/>
      <w:lvlJc w:val="left"/>
      <w:pPr>
        <w:tabs>
          <w:tab w:pos="2160" w:val="num"/>
        </w:tabs>
        <w:ind w:hanging="360" w:left="2160"/>
      </w:pPr>
      <w:rPr>
        <w:rFonts w:ascii="OpenSymbol" w:cs="OpenSymbol" w:hAnsi="OpenSymbol" w:hint="default"/>
      </w:rPr>
    </w:lvl>
    <w:lvl w:ilvl="5">
      <w:start w:val="1"/>
      <w:numFmt w:val="bullet"/>
      <w:lvlText w:val="▪"/>
      <w:lvlJc w:val="left"/>
      <w:pPr>
        <w:tabs>
          <w:tab w:pos="2520" w:val="num"/>
        </w:tabs>
        <w:ind w:hanging="360" w:left="2520"/>
      </w:pPr>
      <w:rPr>
        <w:rFonts w:ascii="OpenSymbol" w:cs="OpenSymbol" w:hAnsi="OpenSymbol" w:hint="default"/>
      </w:rPr>
    </w:lvl>
    <w:lvl w:ilvl="6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cs="Symbol" w:hAnsi="Symbol" w:hint="default"/>
      </w:rPr>
    </w:lvl>
    <w:lvl w:ilvl="7">
      <w:start w:val="1"/>
      <w:numFmt w:val="bullet"/>
      <w:lvlText w:val="◦"/>
      <w:lvlJc w:val="left"/>
      <w:pPr>
        <w:tabs>
          <w:tab w:pos="3240" w:val="num"/>
        </w:tabs>
        <w:ind w:hanging="360" w:left="3240"/>
      </w:pPr>
      <w:rPr>
        <w:rFonts w:ascii="OpenSymbol" w:cs="OpenSymbol" w:hAnsi="OpenSymbol" w:hint="default"/>
      </w:rPr>
    </w:lvl>
    <w:lvl w:ilvl="8">
      <w:start w:val="1"/>
      <w:numFmt w:val="bullet"/>
      <w:lvlText w:val="▪"/>
      <w:lvlJc w:val="left"/>
      <w:pPr>
        <w:tabs>
          <w:tab w:pos="3600" w:val="num"/>
        </w:tabs>
        <w:ind w:hanging="360" w:left="3600"/>
      </w:pPr>
      <w:rPr>
        <w:rFonts w:ascii="OpenSymbol" w:cs="OpenSymbol" w:hAnsi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cs="Symbol" w:hAnsi="Symbol" w:hint="default"/>
      </w:rPr>
    </w:lvl>
    <w:lvl w:ilvl="1">
      <w:start w:val="1"/>
      <w:numFmt w:val="bullet"/>
      <w:lvlText w:val="◦"/>
      <w:lvlJc w:val="left"/>
      <w:pPr>
        <w:tabs>
          <w:tab w:pos="1800" w:val="num"/>
        </w:tabs>
        <w:ind w:hanging="360" w:left="1800"/>
      </w:pPr>
      <w:rPr>
        <w:rFonts w:ascii="OpenSymbol" w:cs="OpenSymbol" w:hAnsi="OpenSymbol" w:hint="default"/>
      </w:rPr>
    </w:lvl>
    <w:lvl w:ilvl="2">
      <w:start w:val="1"/>
      <w:numFmt w:val="bullet"/>
      <w:lvlText w:val="▪"/>
      <w:lvlJc w:val="left"/>
      <w:pPr>
        <w:tabs>
          <w:tab w:pos="2160" w:val="num"/>
        </w:tabs>
        <w:ind w:hanging="360" w:left="2160"/>
      </w:pPr>
      <w:rPr>
        <w:rFonts w:ascii="OpenSymbol" w:cs="OpenSymbol" w:hAnsi="OpenSymbol" w:hint="default"/>
      </w:rPr>
    </w:lvl>
    <w:lvl w:ilvl="3">
      <w:start w:val="1"/>
      <w:numFmt w:val="bullet"/>
      <w:lvlText w:val=""/>
      <w:lvlJc w:val="left"/>
      <w:pPr>
        <w:tabs>
          <w:tab w:pos="2520" w:val="num"/>
        </w:tabs>
        <w:ind w:hanging="360" w:left="2520"/>
      </w:pPr>
      <w:rPr>
        <w:rFonts w:ascii="Symbol" w:cs="Symbol" w:hAnsi="Symbol" w:hint="default"/>
      </w:rPr>
    </w:lvl>
    <w:lvl w:ilvl="4">
      <w:start w:val="1"/>
      <w:numFmt w:val="bullet"/>
      <w:lvlText w:val="◦"/>
      <w:lvlJc w:val="left"/>
      <w:pPr>
        <w:tabs>
          <w:tab w:pos="2880" w:val="num"/>
        </w:tabs>
        <w:ind w:hanging="360" w:left="2880"/>
      </w:pPr>
      <w:rPr>
        <w:rFonts w:ascii="OpenSymbol" w:cs="OpenSymbol" w:hAnsi="OpenSymbol" w:hint="default"/>
      </w:rPr>
    </w:lvl>
    <w:lvl w:ilvl="5">
      <w:start w:val="1"/>
      <w:numFmt w:val="bullet"/>
      <w:lvlText w:val="▪"/>
      <w:lvlJc w:val="left"/>
      <w:pPr>
        <w:tabs>
          <w:tab w:pos="3240" w:val="num"/>
        </w:tabs>
        <w:ind w:hanging="360" w:left="3240"/>
      </w:pPr>
      <w:rPr>
        <w:rFonts w:ascii="OpenSymbol" w:cs="OpenSymbol" w:hAnsi="OpenSymbol" w:hint="default"/>
      </w:rPr>
    </w:lvl>
    <w:lvl w:ilvl="6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cs="Symbol" w:hAnsi="Symbol" w:hint="default"/>
      </w:rPr>
    </w:lvl>
    <w:lvl w:ilvl="7">
      <w:start w:val="1"/>
      <w:numFmt w:val="bullet"/>
      <w:lvlText w:val="◦"/>
      <w:lvlJc w:val="left"/>
      <w:pPr>
        <w:tabs>
          <w:tab w:pos="3960" w:val="num"/>
        </w:tabs>
        <w:ind w:hanging="360" w:left="3960"/>
      </w:pPr>
      <w:rPr>
        <w:rFonts w:ascii="OpenSymbol" w:cs="OpenSymbol" w:hAnsi="OpenSymbol" w:hint="default"/>
      </w:rPr>
    </w:lvl>
    <w:lvl w:ilvl="8">
      <w:start w:val="1"/>
      <w:numFmt w:val="bullet"/>
      <w:lvlText w:val="▪"/>
      <w:lvlJc w:val="left"/>
      <w:pPr>
        <w:tabs>
          <w:tab w:pos="4320" w:val="num"/>
        </w:tabs>
        <w:ind w:hanging="360" w:left="4320"/>
      </w:pPr>
      <w:rPr>
        <w:rFonts w:ascii="OpenSymbol" w:cs="OpenSymbol" w:hAnsi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tyles.xml><?xml version="1.0" encoding="utf-8"?>
<w:styles xmlns:w="http://schemas.openxmlformats.org/wordprocessingml/2006/main">
  <w:style w:styleId="style0" w:type="paragraph">
    <w:name w:val="Predefinito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Calibri" w:eastAsia="WenQuanYi Micro Hei" w:hAnsi="Calibri"/>
      <w:color w:val="auto"/>
      <w:sz w:val="22"/>
      <w:szCs w:val="22"/>
      <w:lang w:bidi="ar-SA" w:eastAsia="en-US" w:val="it-IT"/>
    </w:rPr>
  </w:style>
  <w:style w:styleId="style15" w:type="character">
    <w:name w:val="Default Paragraph Font"/>
    <w:next w:val="style15"/>
    <w:rPr/>
  </w:style>
  <w:style w:styleId="style16" w:type="character">
    <w:name w:val="ListLabel 1"/>
    <w:next w:val="style16"/>
    <w:rPr>
      <w:rFonts w:cs="Courier New"/>
    </w:rPr>
  </w:style>
  <w:style w:styleId="style17" w:type="character">
    <w:name w:val="Punti"/>
    <w:next w:val="style17"/>
    <w:rPr>
      <w:rFonts w:ascii="OpenSymbol" w:cs="OpenSymbol" w:eastAsia="OpenSymbol" w:hAnsi="OpenSymbol"/>
    </w:rPr>
  </w:style>
  <w:style w:styleId="style18" w:type="paragraph">
    <w:name w:val="Intestazione"/>
    <w:basedOn w:val="style0"/>
    <w:next w:val="style19"/>
    <w:pPr>
      <w:keepNext/>
      <w:spacing w:after="120" w:before="240"/>
    </w:pPr>
    <w:rPr>
      <w:rFonts w:ascii="Liberation Sans" w:cs="Lohit Hindi" w:eastAsia="WenQuanYi Micro Hei" w:hAnsi="Liberation Sans"/>
      <w:sz w:val="28"/>
      <w:szCs w:val="28"/>
    </w:rPr>
  </w:style>
  <w:style w:styleId="style19" w:type="paragraph">
    <w:name w:val="Corpo testo"/>
    <w:basedOn w:val="style0"/>
    <w:next w:val="style19"/>
    <w:pPr>
      <w:spacing w:after="120" w:before="0"/>
    </w:pPr>
    <w:rPr/>
  </w:style>
  <w:style w:styleId="style20" w:type="paragraph">
    <w:name w:val="Elenco"/>
    <w:basedOn w:val="style19"/>
    <w:next w:val="style20"/>
    <w:pPr/>
    <w:rPr>
      <w:rFonts w:cs="Lohit Hindi"/>
    </w:rPr>
  </w:style>
  <w:style w:styleId="style21" w:type="paragraph">
    <w:name w:val="Didascalia"/>
    <w:basedOn w:val="style0"/>
    <w:next w:val="style21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2" w:type="paragraph">
    <w:name w:val="Indice"/>
    <w:basedOn w:val="style0"/>
    <w:next w:val="style22"/>
    <w:pPr>
      <w:suppressLineNumbers/>
    </w:pPr>
    <w:rPr>
      <w:rFonts w:cs="Lohit Hindi"/>
    </w:rPr>
  </w:style>
  <w:style w:styleId="style23" w:type="paragraph">
    <w:name w:val="List Paragraph"/>
    <w:basedOn w:val="style0"/>
    <w:next w:val="style23"/>
    <w:pPr>
      <w:ind w:hanging="0" w:left="720" w:right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2012-06-05T07:46:00.00Z</dcterms:created>
  <dc:creator>Ina</dc:creator>
  <cp:lastModifiedBy>Ina</cp:lastModifiedBy>
  <cp:lastPrinted>2014-05-24T12:02:15.00Z</cp:lastPrinted>
  <dcterms:modified xsi:type="dcterms:W3CDTF">2012-06-05T08:22:00.00Z</dcterms:modified>
  <cp:revision>2</cp:revision>
</cp:coreProperties>
</file>