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2B7" w:rsidRPr="00015ED0" w:rsidRDefault="00A212B7" w:rsidP="00A212B7">
      <w:pPr>
        <w:rPr>
          <w:rFonts w:ascii="Palatino Linotype" w:hAnsi="Palatino Linotype"/>
          <w:b/>
          <w:sz w:val="28"/>
          <w:szCs w:val="28"/>
        </w:rPr>
      </w:pPr>
      <w:r w:rsidRPr="00015ED0">
        <w:rPr>
          <w:rFonts w:ascii="Palatino Linotype" w:hAnsi="Palatino Linotype"/>
          <w:b/>
          <w:sz w:val="28"/>
          <w:szCs w:val="28"/>
        </w:rPr>
        <w:t>Liceo Scientifico Benedetto Croce Palermo</w:t>
      </w:r>
    </w:p>
    <w:p w:rsidR="00A212B7" w:rsidRPr="00015ED0" w:rsidRDefault="006B1B76" w:rsidP="00A212B7">
      <w:pPr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>Anno scolastico 2013 – 2014</w:t>
      </w:r>
      <w:r w:rsidR="00A212B7" w:rsidRPr="00015ED0">
        <w:rPr>
          <w:rFonts w:ascii="Palatino Linotype" w:hAnsi="Palatino Linotype"/>
          <w:b/>
          <w:sz w:val="28"/>
          <w:szCs w:val="28"/>
        </w:rPr>
        <w:t xml:space="preserve"> Classe I E</w:t>
      </w:r>
    </w:p>
    <w:p w:rsidR="00A212B7" w:rsidRDefault="00A212B7" w:rsidP="00A212B7">
      <w:pPr>
        <w:pStyle w:val="Titolo"/>
        <w:jc w:val="both"/>
        <w:rPr>
          <w:rFonts w:ascii="Palatino Linotype" w:hAnsi="Palatino Linotype"/>
          <w:szCs w:val="28"/>
        </w:rPr>
      </w:pPr>
      <w:r w:rsidRPr="00015ED0">
        <w:rPr>
          <w:rFonts w:ascii="Palatino Linotype" w:hAnsi="Palatino Linotype"/>
          <w:szCs w:val="28"/>
        </w:rPr>
        <w:t>P</w:t>
      </w:r>
      <w:r>
        <w:rPr>
          <w:rFonts w:ascii="Palatino Linotype" w:hAnsi="Palatino Linotype"/>
          <w:szCs w:val="28"/>
        </w:rPr>
        <w:t>rogramma di Italia</w:t>
      </w:r>
      <w:r w:rsidRPr="00015ED0">
        <w:rPr>
          <w:rFonts w:ascii="Palatino Linotype" w:hAnsi="Palatino Linotype"/>
          <w:szCs w:val="28"/>
        </w:rPr>
        <w:t xml:space="preserve">no  Docente: Alessandra </w:t>
      </w:r>
      <w:proofErr w:type="spellStart"/>
      <w:r w:rsidRPr="00015ED0">
        <w:rPr>
          <w:rFonts w:ascii="Palatino Linotype" w:hAnsi="Palatino Linotype"/>
          <w:szCs w:val="28"/>
        </w:rPr>
        <w:t>Aglieri</w:t>
      </w:r>
      <w:proofErr w:type="spellEnd"/>
    </w:p>
    <w:p w:rsidR="00A212B7" w:rsidRDefault="00A212B7" w:rsidP="00A212B7">
      <w:pPr>
        <w:pStyle w:val="Titolo"/>
        <w:jc w:val="both"/>
        <w:rPr>
          <w:rFonts w:ascii="Palatino Linotype" w:hAnsi="Palatino Linotype"/>
          <w:szCs w:val="28"/>
        </w:rPr>
      </w:pPr>
    </w:p>
    <w:p w:rsidR="003577AC" w:rsidRDefault="003577AC" w:rsidP="00A212B7">
      <w:pPr>
        <w:pStyle w:val="Titolo"/>
        <w:jc w:val="both"/>
        <w:rPr>
          <w:rFonts w:ascii="Palatino Linotype" w:hAnsi="Palatino Linotype"/>
          <w:szCs w:val="28"/>
        </w:rPr>
      </w:pPr>
    </w:p>
    <w:p w:rsidR="00A212B7" w:rsidRDefault="00A212B7" w:rsidP="00A212B7">
      <w:pPr>
        <w:pStyle w:val="Titolo"/>
        <w:jc w:val="both"/>
        <w:rPr>
          <w:rFonts w:ascii="Palatino Linotype" w:hAnsi="Palatino Linotype"/>
          <w:szCs w:val="28"/>
        </w:rPr>
      </w:pPr>
      <w:r>
        <w:rPr>
          <w:rFonts w:ascii="Palatino Linotype" w:hAnsi="Palatino Linotype"/>
          <w:szCs w:val="28"/>
        </w:rPr>
        <w:t>Grammatica</w:t>
      </w:r>
    </w:p>
    <w:p w:rsidR="009A48A4" w:rsidRPr="00BD426E" w:rsidRDefault="009A48A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 xml:space="preserve">Introduzione alla grammatica </w:t>
      </w:r>
      <w:proofErr w:type="spellStart"/>
      <w:r w:rsidRPr="00BD426E">
        <w:rPr>
          <w:rFonts w:ascii="Palatino Linotype" w:hAnsi="Palatino Linotype"/>
          <w:b w:val="0"/>
          <w:sz w:val="24"/>
          <w:szCs w:val="24"/>
        </w:rPr>
        <w:t>valenziale</w:t>
      </w:r>
      <w:proofErr w:type="spellEnd"/>
      <w:r w:rsidRPr="00BD426E">
        <w:rPr>
          <w:rFonts w:ascii="Palatino Linotype" w:hAnsi="Palatino Linotype"/>
          <w:b w:val="0"/>
          <w:sz w:val="24"/>
          <w:szCs w:val="24"/>
        </w:rPr>
        <w:t>: il concetto di valenza verbale.</w:t>
      </w:r>
    </w:p>
    <w:p w:rsidR="009A48A4" w:rsidRPr="00BD426E" w:rsidRDefault="009A48A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L’argomento soggetto: regole e peculiarità.</w:t>
      </w:r>
    </w:p>
    <w:p w:rsidR="009A48A4" w:rsidRPr="00BD426E" w:rsidRDefault="009A48A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L’argomento oggetto diretto e indiretto: particolarità.</w:t>
      </w:r>
    </w:p>
    <w:p w:rsidR="009A48A4" w:rsidRPr="00BD426E" w:rsidRDefault="009A48A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La reggenza: ruoli del soggetto</w:t>
      </w:r>
      <w:r w:rsidR="008541BA">
        <w:rPr>
          <w:rFonts w:ascii="Palatino Linotype" w:hAnsi="Palatino Linotype"/>
          <w:b w:val="0"/>
          <w:sz w:val="24"/>
          <w:szCs w:val="24"/>
        </w:rPr>
        <w:t xml:space="preserve"> e </w:t>
      </w:r>
      <w:r w:rsidRPr="00BD426E">
        <w:rPr>
          <w:rFonts w:ascii="Palatino Linotype" w:hAnsi="Palatino Linotype"/>
          <w:b w:val="0"/>
          <w:sz w:val="24"/>
          <w:szCs w:val="24"/>
        </w:rPr>
        <w:t>dell’oggetto nel mondo reale.</w:t>
      </w:r>
    </w:p>
    <w:p w:rsidR="009A48A4" w:rsidRPr="00BD426E" w:rsidRDefault="009A48A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I verbi predicativi secondo la loro valenza: monovalenti, bivalenti, trivalenti, tetravalenti. Verbi attivi e passivi, intransitivi e transitivi.</w:t>
      </w:r>
    </w:p>
    <w:p w:rsidR="009A48A4" w:rsidRPr="00BD426E" w:rsidRDefault="009A48A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Verbi “irrequieti”: pensare, vivere.</w:t>
      </w:r>
    </w:p>
    <w:p w:rsidR="009A48A4" w:rsidRPr="00BD426E" w:rsidRDefault="009A48A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Il verbo “fare” e il verbo “essere”, valenze e significati.</w:t>
      </w:r>
    </w:p>
    <w:p w:rsidR="009A48A4" w:rsidRPr="00BD426E" w:rsidRDefault="009A48A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I verbi compositi: ausiliari, modali o servili, aspettuali, causativi e le rispettive perifrasi.</w:t>
      </w:r>
    </w:p>
    <w:p w:rsidR="009A48A4" w:rsidRPr="00BD426E" w:rsidRDefault="009A48A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Gli argomenti compositi: il predicativo del soggetto e dell’oggetto.</w:t>
      </w:r>
    </w:p>
    <w:p w:rsidR="009A48A4" w:rsidRPr="00BD426E" w:rsidRDefault="009A48A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Gli argomenti compositi: le oggettive completive.</w:t>
      </w:r>
      <w:r w:rsidR="00933693">
        <w:rPr>
          <w:rFonts w:ascii="Palatino Linotype" w:hAnsi="Palatino Linotype"/>
          <w:b w:val="0"/>
          <w:sz w:val="24"/>
          <w:szCs w:val="24"/>
        </w:rPr>
        <w:t xml:space="preserve"> </w:t>
      </w:r>
      <w:r w:rsidRPr="00BD426E">
        <w:rPr>
          <w:rFonts w:ascii="Palatino Linotype" w:hAnsi="Palatino Linotype"/>
          <w:b w:val="0"/>
          <w:sz w:val="24"/>
          <w:szCs w:val="24"/>
        </w:rPr>
        <w:t>I nomi formati da più elementi e i nomi con la “coda”. I verbi con argomento oggetto interno.</w:t>
      </w:r>
    </w:p>
    <w:p w:rsidR="009A48A4" w:rsidRPr="00BD426E" w:rsidRDefault="009A48A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I circostanti necessari. L’uso pronominale dei verbi.</w:t>
      </w:r>
    </w:p>
    <w:p w:rsidR="009A48A4" w:rsidRPr="00BD426E" w:rsidRDefault="009A48A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I verbi riflessivi e i verbi medi. Il coinvolgimento del soggetto. I verbi pronominali nel nucleo della frase.</w:t>
      </w:r>
    </w:p>
    <w:p w:rsidR="009A48A4" w:rsidRPr="00BD426E" w:rsidRDefault="009A48A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La costruzione passiva</w:t>
      </w:r>
      <w:r w:rsidR="00A3678D" w:rsidRPr="00BD426E">
        <w:rPr>
          <w:rFonts w:ascii="Palatino Linotype" w:hAnsi="Palatino Linotype"/>
          <w:b w:val="0"/>
          <w:sz w:val="24"/>
          <w:szCs w:val="24"/>
        </w:rPr>
        <w:t>: normale, col “si” passivante, frase segmentata.</w:t>
      </w:r>
      <w:r w:rsidR="00320098" w:rsidRPr="00BD426E">
        <w:rPr>
          <w:rFonts w:ascii="Palatino Linotype" w:hAnsi="Palatino Linotype"/>
          <w:b w:val="0"/>
          <w:sz w:val="24"/>
          <w:szCs w:val="24"/>
        </w:rPr>
        <w:t xml:space="preserve"> Gli effetti della costruzione passiva. Le particolarità della costruzione passiva.  Il “si” impersonale. Le proposizioni soggettive: caratteristiche e uso. </w:t>
      </w:r>
    </w:p>
    <w:p w:rsidR="00320098" w:rsidRPr="00BD426E" w:rsidRDefault="00320098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 xml:space="preserve">I verbi copulativi: uso e peculiarità. </w:t>
      </w:r>
    </w:p>
    <w:p w:rsidR="00B40128" w:rsidRDefault="00B40128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Le trasformazioni del nucleo: le frasi completive soggettive e le proposizioni soggettive posposte.</w:t>
      </w:r>
    </w:p>
    <w:p w:rsidR="00762D76" w:rsidRDefault="00762D76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>
        <w:rPr>
          <w:rFonts w:ascii="Palatino Linotype" w:hAnsi="Palatino Linotype"/>
          <w:b w:val="0"/>
          <w:sz w:val="24"/>
          <w:szCs w:val="24"/>
        </w:rPr>
        <w:t>Le proposizioni oggettive, dirette e indirette. Uso dei tempi e dei modi nelle completive oggettive.</w:t>
      </w:r>
    </w:p>
    <w:p w:rsidR="00762D76" w:rsidRDefault="00762D76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>
        <w:rPr>
          <w:rFonts w:ascii="Palatino Linotype" w:hAnsi="Palatino Linotype"/>
          <w:b w:val="0"/>
          <w:sz w:val="24"/>
          <w:szCs w:val="24"/>
        </w:rPr>
        <w:t>Le trasformazioni della frase basica: le interrogative totali, parziali, disgiuntive e retoriche.</w:t>
      </w:r>
    </w:p>
    <w:p w:rsidR="00762D76" w:rsidRPr="00BD426E" w:rsidRDefault="00762D76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>
        <w:rPr>
          <w:rFonts w:ascii="Palatino Linotype" w:hAnsi="Palatino Linotype"/>
          <w:b w:val="0"/>
          <w:sz w:val="24"/>
          <w:szCs w:val="24"/>
        </w:rPr>
        <w:t>Le frasi volitive: imperative, desiderative, concessive.</w:t>
      </w:r>
    </w:p>
    <w:p w:rsidR="009A48A4" w:rsidRDefault="009A48A4" w:rsidP="00A212B7">
      <w:pPr>
        <w:pStyle w:val="Titolo"/>
        <w:jc w:val="both"/>
        <w:rPr>
          <w:rFonts w:ascii="Palatino Linotype" w:hAnsi="Palatino Linotype"/>
          <w:b w:val="0"/>
          <w:szCs w:val="28"/>
        </w:rPr>
      </w:pPr>
    </w:p>
    <w:p w:rsidR="003577AC" w:rsidRDefault="003577AC" w:rsidP="00A212B7">
      <w:pPr>
        <w:pStyle w:val="Titolo"/>
        <w:jc w:val="both"/>
        <w:rPr>
          <w:rFonts w:ascii="Palatino Linotype" w:hAnsi="Palatino Linotype"/>
          <w:b w:val="0"/>
          <w:szCs w:val="28"/>
        </w:rPr>
      </w:pPr>
    </w:p>
    <w:p w:rsidR="003577AC" w:rsidRDefault="003577AC" w:rsidP="003577AC">
      <w:pPr>
        <w:pStyle w:val="Titolo"/>
        <w:jc w:val="both"/>
        <w:rPr>
          <w:rFonts w:ascii="Palatino Linotype" w:hAnsi="Palatino Linotype"/>
          <w:szCs w:val="28"/>
        </w:rPr>
      </w:pPr>
      <w:r>
        <w:rPr>
          <w:rFonts w:ascii="Palatino Linotype" w:hAnsi="Palatino Linotype"/>
          <w:szCs w:val="28"/>
        </w:rPr>
        <w:t>Produzione scritta</w:t>
      </w:r>
    </w:p>
    <w:p w:rsidR="003577AC" w:rsidRPr="00BD426E" w:rsidRDefault="003577AC" w:rsidP="003577AC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Il tema tradizionale.</w:t>
      </w:r>
    </w:p>
    <w:p w:rsidR="003577AC" w:rsidRDefault="003577AC" w:rsidP="003577AC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Il riassunto.</w:t>
      </w:r>
    </w:p>
    <w:p w:rsidR="003577AC" w:rsidRPr="00BD426E" w:rsidRDefault="003577AC" w:rsidP="003577AC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>
        <w:rPr>
          <w:rFonts w:ascii="Palatino Linotype" w:hAnsi="Palatino Linotype"/>
          <w:b w:val="0"/>
          <w:sz w:val="24"/>
          <w:szCs w:val="24"/>
        </w:rPr>
        <w:t>La descrizione</w:t>
      </w:r>
    </w:p>
    <w:p w:rsidR="003577AC" w:rsidRPr="00BD426E" w:rsidRDefault="003577AC" w:rsidP="003577AC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La recensione di un testo letterario e di un film.</w:t>
      </w:r>
    </w:p>
    <w:p w:rsidR="003577AC" w:rsidRPr="00BD426E" w:rsidRDefault="003577AC" w:rsidP="003577AC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Avviamento all’analisi del testo in prosa e della narrazione epica.</w:t>
      </w:r>
    </w:p>
    <w:p w:rsidR="003577AC" w:rsidRPr="00BD426E" w:rsidRDefault="003577AC" w:rsidP="003577AC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La relazione.</w:t>
      </w:r>
    </w:p>
    <w:p w:rsidR="003577AC" w:rsidRPr="009A48A4" w:rsidRDefault="003577AC" w:rsidP="00A212B7">
      <w:pPr>
        <w:pStyle w:val="Titolo"/>
        <w:jc w:val="both"/>
        <w:rPr>
          <w:rFonts w:ascii="Palatino Linotype" w:hAnsi="Palatino Linotype"/>
          <w:b w:val="0"/>
          <w:szCs w:val="28"/>
        </w:rPr>
      </w:pPr>
    </w:p>
    <w:p w:rsidR="003577AC" w:rsidRDefault="003577AC" w:rsidP="00A212B7">
      <w:pPr>
        <w:pStyle w:val="Titolo"/>
        <w:jc w:val="both"/>
        <w:rPr>
          <w:rFonts w:ascii="Palatino Linotype" w:hAnsi="Palatino Linotype"/>
          <w:szCs w:val="28"/>
        </w:rPr>
      </w:pPr>
    </w:p>
    <w:p w:rsidR="00A212B7" w:rsidRDefault="00A212B7" w:rsidP="00A212B7">
      <w:pPr>
        <w:pStyle w:val="Titolo"/>
        <w:jc w:val="both"/>
        <w:rPr>
          <w:rFonts w:ascii="Palatino Linotype" w:hAnsi="Palatino Linotype"/>
          <w:szCs w:val="28"/>
        </w:rPr>
      </w:pPr>
      <w:r>
        <w:rPr>
          <w:rFonts w:ascii="Palatino Linotype" w:hAnsi="Palatino Linotype"/>
          <w:szCs w:val="28"/>
        </w:rPr>
        <w:lastRenderedPageBreak/>
        <w:t>Antologia</w:t>
      </w:r>
    </w:p>
    <w:p w:rsidR="00226CCE" w:rsidRPr="00BD426E" w:rsidRDefault="00226CCE" w:rsidP="00226CCE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La struttura del testo narrativo: le sequenze e la loro tipologia.</w:t>
      </w:r>
      <w:r w:rsidR="003577AC">
        <w:rPr>
          <w:rFonts w:ascii="Palatino Linotype" w:hAnsi="Palatino Linotype"/>
          <w:b w:val="0"/>
          <w:sz w:val="24"/>
          <w:szCs w:val="24"/>
        </w:rPr>
        <w:t xml:space="preserve">  </w:t>
      </w:r>
      <w:r w:rsidRPr="00BD426E">
        <w:rPr>
          <w:rFonts w:ascii="Palatino Linotype" w:hAnsi="Palatino Linotype"/>
          <w:b w:val="0"/>
          <w:sz w:val="24"/>
          <w:szCs w:val="24"/>
        </w:rPr>
        <w:t xml:space="preserve">L’ordine degli avvenimenti: flashback, </w:t>
      </w:r>
      <w:proofErr w:type="spellStart"/>
      <w:r w:rsidRPr="00BD426E">
        <w:rPr>
          <w:rFonts w:ascii="Palatino Linotype" w:hAnsi="Palatino Linotype"/>
          <w:b w:val="0"/>
          <w:sz w:val="24"/>
          <w:szCs w:val="24"/>
        </w:rPr>
        <w:t>flashforward</w:t>
      </w:r>
      <w:proofErr w:type="spellEnd"/>
      <w:r w:rsidRPr="00BD426E">
        <w:rPr>
          <w:rFonts w:ascii="Palatino Linotype" w:hAnsi="Palatino Linotype"/>
          <w:b w:val="0"/>
          <w:sz w:val="24"/>
          <w:szCs w:val="24"/>
        </w:rPr>
        <w:t xml:space="preserve">, in </w:t>
      </w:r>
      <w:proofErr w:type="spellStart"/>
      <w:r w:rsidRPr="00BD426E">
        <w:rPr>
          <w:rFonts w:ascii="Palatino Linotype" w:hAnsi="Palatino Linotype"/>
          <w:b w:val="0"/>
          <w:sz w:val="24"/>
          <w:szCs w:val="24"/>
        </w:rPr>
        <w:t>medias</w:t>
      </w:r>
      <w:proofErr w:type="spellEnd"/>
      <w:r w:rsidRPr="00BD426E">
        <w:rPr>
          <w:rFonts w:ascii="Palatino Linotype" w:hAnsi="Palatino Linotype"/>
          <w:b w:val="0"/>
          <w:sz w:val="24"/>
          <w:szCs w:val="24"/>
        </w:rPr>
        <w:t xml:space="preserve"> </w:t>
      </w:r>
      <w:proofErr w:type="spellStart"/>
      <w:r w:rsidRPr="00BD426E">
        <w:rPr>
          <w:rFonts w:ascii="Palatino Linotype" w:hAnsi="Palatino Linotype"/>
          <w:b w:val="0"/>
          <w:sz w:val="24"/>
          <w:szCs w:val="24"/>
        </w:rPr>
        <w:t>res</w:t>
      </w:r>
      <w:proofErr w:type="spellEnd"/>
      <w:r w:rsidRPr="00BD426E">
        <w:rPr>
          <w:rFonts w:ascii="Palatino Linotype" w:hAnsi="Palatino Linotype"/>
          <w:b w:val="0"/>
          <w:sz w:val="24"/>
          <w:szCs w:val="24"/>
        </w:rPr>
        <w:t>.</w:t>
      </w:r>
      <w:r w:rsidR="003577AC">
        <w:rPr>
          <w:rFonts w:ascii="Palatino Linotype" w:hAnsi="Palatino Linotype"/>
          <w:b w:val="0"/>
          <w:sz w:val="24"/>
          <w:szCs w:val="24"/>
        </w:rPr>
        <w:t xml:space="preserve">  </w:t>
      </w:r>
      <w:r w:rsidRPr="00BD426E">
        <w:rPr>
          <w:rFonts w:ascii="Palatino Linotype" w:hAnsi="Palatino Linotype"/>
          <w:b w:val="0"/>
          <w:sz w:val="24"/>
          <w:szCs w:val="24"/>
        </w:rPr>
        <w:t>Lo spazio e il tempo della narrazione. Il ritmo della narrazione e i tempi.</w:t>
      </w:r>
    </w:p>
    <w:p w:rsidR="00226CCE" w:rsidRPr="00BD426E" w:rsidRDefault="00226CCE" w:rsidP="00226CCE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La descrizione.</w:t>
      </w:r>
      <w:r w:rsidR="003577AC">
        <w:rPr>
          <w:rFonts w:ascii="Palatino Linotype" w:hAnsi="Palatino Linotype"/>
          <w:b w:val="0"/>
          <w:sz w:val="24"/>
          <w:szCs w:val="24"/>
        </w:rPr>
        <w:t xml:space="preserve">  </w:t>
      </w:r>
      <w:r w:rsidR="00847389" w:rsidRPr="00BD426E">
        <w:rPr>
          <w:rFonts w:ascii="Palatino Linotype" w:hAnsi="Palatino Linotype"/>
          <w:b w:val="0"/>
          <w:sz w:val="24"/>
          <w:szCs w:val="24"/>
        </w:rPr>
        <w:t>Lo stile e i temi della narrazione (lessico, sintassi, figure retoriche). L’incipit, il titolo, le parole – chiave, i rimandi intertestuali.</w:t>
      </w:r>
    </w:p>
    <w:p w:rsidR="00396AA7" w:rsidRPr="00BD426E" w:rsidRDefault="00847389" w:rsidP="00226CCE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 xml:space="preserve"> </w:t>
      </w:r>
      <w:r w:rsidR="00226CCE" w:rsidRPr="00BD426E">
        <w:rPr>
          <w:rFonts w:ascii="Palatino Linotype" w:hAnsi="Palatino Linotype"/>
          <w:b w:val="0"/>
          <w:sz w:val="24"/>
          <w:szCs w:val="24"/>
        </w:rPr>
        <w:t xml:space="preserve">Il sistema dei personaggi e la loro caratterizzazione (piatti, a bassorilievo, a tutto tondo). </w:t>
      </w:r>
    </w:p>
    <w:p w:rsidR="00396AA7" w:rsidRPr="00BD426E" w:rsidRDefault="00226CCE" w:rsidP="00226CCE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 xml:space="preserve">Dalla lettura alla scrittura: il riassunto, che cos’è e come si fa, esempio di svolgimento. </w:t>
      </w:r>
    </w:p>
    <w:p w:rsidR="00226CCE" w:rsidRDefault="00226CCE" w:rsidP="00226CCE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Tipi di narratore: esterno, interno onnisciente: di 1°, di 2° e di 3° grado. Il punto di vista interno, esterno, la focalizzazione esterna, lo straniamento, la suspense, l’ironia.</w:t>
      </w:r>
      <w:r w:rsidR="003577AC">
        <w:rPr>
          <w:rFonts w:ascii="Palatino Linotype" w:hAnsi="Palatino Linotype"/>
          <w:b w:val="0"/>
          <w:sz w:val="24"/>
          <w:szCs w:val="24"/>
        </w:rPr>
        <w:t xml:space="preserve"> Il flusso di coscienza e il monologo interiore.</w:t>
      </w:r>
    </w:p>
    <w:p w:rsidR="003577AC" w:rsidRDefault="003577AC" w:rsidP="00226CCE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3577AC">
        <w:rPr>
          <w:rFonts w:ascii="Palatino Linotype" w:hAnsi="Palatino Linotype"/>
          <w:sz w:val="24"/>
          <w:szCs w:val="24"/>
        </w:rPr>
        <w:t>Testi</w:t>
      </w:r>
      <w:r>
        <w:rPr>
          <w:rFonts w:ascii="Palatino Linotype" w:hAnsi="Palatino Linotype"/>
          <w:b w:val="0"/>
          <w:sz w:val="24"/>
          <w:szCs w:val="24"/>
        </w:rPr>
        <w:t>:</w:t>
      </w:r>
    </w:p>
    <w:p w:rsidR="00226CCE" w:rsidRPr="00BD426E" w:rsidRDefault="00226CCE" w:rsidP="00226CCE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 xml:space="preserve">J. </w:t>
      </w:r>
      <w:proofErr w:type="spellStart"/>
      <w:r w:rsidRPr="00BD426E">
        <w:rPr>
          <w:rFonts w:ascii="Palatino Linotype" w:hAnsi="Palatino Linotype"/>
          <w:b w:val="0"/>
          <w:sz w:val="24"/>
          <w:szCs w:val="24"/>
        </w:rPr>
        <w:t>Brown</w:t>
      </w:r>
      <w:proofErr w:type="spellEnd"/>
      <w:r w:rsidRPr="00BD426E">
        <w:rPr>
          <w:rFonts w:ascii="Palatino Linotype" w:hAnsi="Palatino Linotype"/>
          <w:b w:val="0"/>
          <w:sz w:val="24"/>
          <w:szCs w:val="24"/>
        </w:rPr>
        <w:t>, “ La sentinella”.</w:t>
      </w:r>
    </w:p>
    <w:p w:rsidR="00226CCE" w:rsidRDefault="00226CCE" w:rsidP="00226CCE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P. Levi, “Sandro”.</w:t>
      </w:r>
    </w:p>
    <w:p w:rsidR="00FA5A8C" w:rsidRDefault="00FA5A8C" w:rsidP="00226CCE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>
        <w:rPr>
          <w:rFonts w:ascii="Palatino Linotype" w:hAnsi="Palatino Linotype"/>
          <w:b w:val="0"/>
          <w:sz w:val="24"/>
          <w:szCs w:val="24"/>
        </w:rPr>
        <w:t xml:space="preserve">E.A. </w:t>
      </w:r>
      <w:proofErr w:type="spellStart"/>
      <w:r>
        <w:rPr>
          <w:rFonts w:ascii="Palatino Linotype" w:hAnsi="Palatino Linotype"/>
          <w:b w:val="0"/>
          <w:sz w:val="24"/>
          <w:szCs w:val="24"/>
        </w:rPr>
        <w:t>Poe</w:t>
      </w:r>
      <w:proofErr w:type="spellEnd"/>
      <w:r>
        <w:rPr>
          <w:rFonts w:ascii="Palatino Linotype" w:hAnsi="Palatino Linotype"/>
          <w:b w:val="0"/>
          <w:sz w:val="24"/>
          <w:szCs w:val="24"/>
        </w:rPr>
        <w:t>, “Il gatto nero”.</w:t>
      </w:r>
    </w:p>
    <w:p w:rsidR="00933693" w:rsidRPr="00BD426E" w:rsidRDefault="00933693" w:rsidP="00226CCE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>
        <w:rPr>
          <w:rFonts w:ascii="Palatino Linotype" w:hAnsi="Palatino Linotype"/>
          <w:b w:val="0"/>
          <w:sz w:val="24"/>
          <w:szCs w:val="24"/>
        </w:rPr>
        <w:t xml:space="preserve">E. </w:t>
      </w:r>
      <w:proofErr w:type="spellStart"/>
      <w:r>
        <w:rPr>
          <w:rFonts w:ascii="Palatino Linotype" w:hAnsi="Palatino Linotype"/>
          <w:b w:val="0"/>
          <w:sz w:val="24"/>
          <w:szCs w:val="24"/>
        </w:rPr>
        <w:t>Mansfield</w:t>
      </w:r>
      <w:proofErr w:type="spellEnd"/>
      <w:r>
        <w:rPr>
          <w:rFonts w:ascii="Palatino Linotype" w:hAnsi="Palatino Linotype"/>
          <w:b w:val="0"/>
          <w:sz w:val="24"/>
          <w:szCs w:val="24"/>
        </w:rPr>
        <w:t>, “La lezione di canto”.</w:t>
      </w:r>
    </w:p>
    <w:p w:rsidR="00BD426E" w:rsidRDefault="00226CCE" w:rsidP="00226CCE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O. Wilde, “Il principe felice”.</w:t>
      </w:r>
    </w:p>
    <w:p w:rsidR="00B41BFA" w:rsidRDefault="00B41BFA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 xml:space="preserve">F. Dostoevskij, “Il contadino </w:t>
      </w:r>
      <w:proofErr w:type="spellStart"/>
      <w:r w:rsidRPr="00BD426E">
        <w:rPr>
          <w:rFonts w:ascii="Palatino Linotype" w:hAnsi="Palatino Linotype"/>
          <w:b w:val="0"/>
          <w:sz w:val="24"/>
          <w:szCs w:val="24"/>
        </w:rPr>
        <w:t>Marej</w:t>
      </w:r>
      <w:proofErr w:type="spellEnd"/>
      <w:r w:rsidRPr="00BD426E">
        <w:rPr>
          <w:rFonts w:ascii="Palatino Linotype" w:hAnsi="Palatino Linotype"/>
          <w:b w:val="0"/>
          <w:sz w:val="24"/>
          <w:szCs w:val="24"/>
        </w:rPr>
        <w:t>”.</w:t>
      </w:r>
    </w:p>
    <w:p w:rsidR="0048688D" w:rsidRPr="00BD426E" w:rsidRDefault="0048688D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>
        <w:rPr>
          <w:rFonts w:ascii="Palatino Linotype" w:hAnsi="Palatino Linotype"/>
          <w:b w:val="0"/>
          <w:sz w:val="24"/>
          <w:szCs w:val="24"/>
        </w:rPr>
        <w:t>Fratelli Grimm, “La fanciulla senza mani”.</w:t>
      </w:r>
    </w:p>
    <w:p w:rsidR="00847389" w:rsidRPr="00BD426E" w:rsidRDefault="00847389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G</w:t>
      </w:r>
      <w:r w:rsidR="007B0CAC">
        <w:rPr>
          <w:rFonts w:ascii="Palatino Linotype" w:hAnsi="Palatino Linotype"/>
          <w:b w:val="0"/>
          <w:sz w:val="24"/>
          <w:szCs w:val="24"/>
        </w:rPr>
        <w:t>. Verga, “L’amante di G</w:t>
      </w:r>
      <w:r w:rsidR="000D28FC">
        <w:rPr>
          <w:rFonts w:ascii="Palatino Linotype" w:hAnsi="Palatino Linotype"/>
          <w:b w:val="0"/>
          <w:sz w:val="24"/>
          <w:szCs w:val="24"/>
        </w:rPr>
        <w:t>ramigna”</w:t>
      </w:r>
      <w:r w:rsidR="007B0CAC">
        <w:rPr>
          <w:rFonts w:ascii="Palatino Linotype" w:hAnsi="Palatino Linotype"/>
          <w:b w:val="0"/>
          <w:sz w:val="24"/>
          <w:szCs w:val="24"/>
        </w:rPr>
        <w:t>.</w:t>
      </w:r>
    </w:p>
    <w:p w:rsidR="00847389" w:rsidRPr="00BD426E" w:rsidRDefault="00847389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 xml:space="preserve">I. Svevo, “La seduta spiritica a casa </w:t>
      </w:r>
      <w:proofErr w:type="spellStart"/>
      <w:r w:rsidRPr="00BD426E">
        <w:rPr>
          <w:rFonts w:ascii="Palatino Linotype" w:hAnsi="Palatino Linotype"/>
          <w:b w:val="0"/>
          <w:sz w:val="24"/>
          <w:szCs w:val="24"/>
        </w:rPr>
        <w:t>Malfenti</w:t>
      </w:r>
      <w:proofErr w:type="spellEnd"/>
      <w:r w:rsidRPr="00BD426E">
        <w:rPr>
          <w:rFonts w:ascii="Palatino Linotype" w:hAnsi="Palatino Linotype"/>
          <w:b w:val="0"/>
          <w:sz w:val="24"/>
          <w:szCs w:val="24"/>
        </w:rPr>
        <w:t>”.</w:t>
      </w:r>
    </w:p>
    <w:p w:rsidR="001019A5" w:rsidRDefault="001019A5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Lovecraft, “Nella cripta”.</w:t>
      </w:r>
    </w:p>
    <w:p w:rsidR="002F1F13" w:rsidRDefault="002F1F13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>
        <w:rPr>
          <w:rFonts w:ascii="Palatino Linotype" w:hAnsi="Palatino Linotype"/>
          <w:b w:val="0"/>
          <w:sz w:val="24"/>
          <w:szCs w:val="24"/>
        </w:rPr>
        <w:t xml:space="preserve">G. de </w:t>
      </w:r>
      <w:proofErr w:type="spellStart"/>
      <w:r>
        <w:rPr>
          <w:rFonts w:ascii="Palatino Linotype" w:hAnsi="Palatino Linotype"/>
          <w:b w:val="0"/>
          <w:sz w:val="24"/>
          <w:szCs w:val="24"/>
        </w:rPr>
        <w:t>Maupassant</w:t>
      </w:r>
      <w:proofErr w:type="spellEnd"/>
      <w:r>
        <w:rPr>
          <w:rFonts w:ascii="Palatino Linotype" w:hAnsi="Palatino Linotype"/>
          <w:b w:val="0"/>
          <w:sz w:val="24"/>
          <w:szCs w:val="24"/>
        </w:rPr>
        <w:t>, “La collana”.</w:t>
      </w:r>
    </w:p>
    <w:p w:rsidR="00522A40" w:rsidRPr="00BD426E" w:rsidRDefault="00522A40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</w:p>
    <w:p w:rsidR="00A212B7" w:rsidRDefault="00A212B7" w:rsidP="00A212B7">
      <w:pPr>
        <w:pStyle w:val="Titolo"/>
        <w:jc w:val="both"/>
        <w:rPr>
          <w:rFonts w:ascii="Palatino Linotype" w:hAnsi="Palatino Linotype"/>
          <w:szCs w:val="28"/>
        </w:rPr>
      </w:pPr>
      <w:r>
        <w:rPr>
          <w:rFonts w:ascii="Palatino Linotype" w:hAnsi="Palatino Linotype"/>
          <w:szCs w:val="28"/>
        </w:rPr>
        <w:t>Epica</w:t>
      </w:r>
    </w:p>
    <w:p w:rsidR="009C72AA" w:rsidRPr="00BD426E" w:rsidRDefault="00D828E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Introduzione al mito nell’antichità: universalità, importanza, identità culturale. Etimologia del termine e breve storia del mito greco.</w:t>
      </w:r>
      <w:r w:rsidR="003577AC">
        <w:rPr>
          <w:rFonts w:ascii="Palatino Linotype" w:hAnsi="Palatino Linotype"/>
          <w:b w:val="0"/>
          <w:sz w:val="24"/>
          <w:szCs w:val="24"/>
        </w:rPr>
        <w:t xml:space="preserve"> </w:t>
      </w:r>
      <w:proofErr w:type="spellStart"/>
      <w:r w:rsidR="009C72AA">
        <w:rPr>
          <w:rFonts w:ascii="Palatino Linotype" w:hAnsi="Palatino Linotype"/>
          <w:b w:val="0"/>
          <w:sz w:val="24"/>
          <w:szCs w:val="24"/>
        </w:rPr>
        <w:t>Apollodoro</w:t>
      </w:r>
      <w:proofErr w:type="spellEnd"/>
      <w:r w:rsidR="009C72AA">
        <w:rPr>
          <w:rFonts w:ascii="Palatino Linotype" w:hAnsi="Palatino Linotype"/>
          <w:b w:val="0"/>
          <w:sz w:val="24"/>
          <w:szCs w:val="24"/>
        </w:rPr>
        <w:t xml:space="preserve">, “Il </w:t>
      </w:r>
      <w:proofErr w:type="spellStart"/>
      <w:r w:rsidR="009C72AA">
        <w:rPr>
          <w:rFonts w:ascii="Palatino Linotype" w:hAnsi="Palatino Linotype"/>
          <w:b w:val="0"/>
          <w:sz w:val="24"/>
          <w:szCs w:val="24"/>
        </w:rPr>
        <w:t>Minotauro</w:t>
      </w:r>
      <w:proofErr w:type="spellEnd"/>
      <w:r w:rsidR="009C72AA">
        <w:rPr>
          <w:rFonts w:ascii="Palatino Linotype" w:hAnsi="Palatino Linotype"/>
          <w:b w:val="0"/>
          <w:sz w:val="24"/>
          <w:szCs w:val="24"/>
        </w:rPr>
        <w:t xml:space="preserve"> e il Labirinto”</w:t>
      </w:r>
      <w:r w:rsidR="003577AC">
        <w:rPr>
          <w:rFonts w:ascii="Palatino Linotype" w:hAnsi="Palatino Linotype"/>
          <w:b w:val="0"/>
          <w:sz w:val="24"/>
          <w:szCs w:val="24"/>
        </w:rPr>
        <w:t xml:space="preserve">. </w:t>
      </w:r>
      <w:r w:rsidR="009C72AA">
        <w:rPr>
          <w:rFonts w:ascii="Palatino Linotype" w:hAnsi="Palatino Linotype"/>
          <w:b w:val="0"/>
          <w:sz w:val="24"/>
          <w:szCs w:val="24"/>
        </w:rPr>
        <w:t>Esiodo, “Le età dell’uomo”</w:t>
      </w:r>
      <w:r w:rsidR="003577AC">
        <w:rPr>
          <w:rFonts w:ascii="Palatino Linotype" w:hAnsi="Palatino Linotype"/>
          <w:b w:val="0"/>
          <w:sz w:val="24"/>
          <w:szCs w:val="24"/>
        </w:rPr>
        <w:t>.</w:t>
      </w:r>
    </w:p>
    <w:p w:rsidR="00763A36" w:rsidRPr="00BD426E" w:rsidRDefault="00D828E4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Le origini dell’epica nelle culture orientali: l’epopea di Gilgamesh. La figura dell’eroe epico.</w:t>
      </w:r>
      <w:r w:rsidR="00BD426E">
        <w:rPr>
          <w:rFonts w:ascii="Palatino Linotype" w:hAnsi="Palatino Linotype"/>
          <w:b w:val="0"/>
          <w:sz w:val="24"/>
          <w:szCs w:val="24"/>
        </w:rPr>
        <w:t xml:space="preserve"> </w:t>
      </w:r>
      <w:r w:rsidRPr="00BD426E">
        <w:rPr>
          <w:rFonts w:ascii="Palatino Linotype" w:hAnsi="Palatino Linotype"/>
          <w:b w:val="0"/>
          <w:sz w:val="24"/>
          <w:szCs w:val="24"/>
        </w:rPr>
        <w:t>L’epica greca e la cultura orale. Aedi e rapsodi. Lo stile dei poemi omerici: formule ed epiteti.</w:t>
      </w:r>
      <w:r w:rsidR="003577AC">
        <w:rPr>
          <w:rFonts w:ascii="Palatino Linotype" w:hAnsi="Palatino Linotype"/>
          <w:b w:val="0"/>
          <w:sz w:val="24"/>
          <w:szCs w:val="24"/>
        </w:rPr>
        <w:t xml:space="preserve">  </w:t>
      </w:r>
      <w:r w:rsidRPr="00BD426E">
        <w:rPr>
          <w:rFonts w:ascii="Palatino Linotype" w:hAnsi="Palatino Linotype"/>
          <w:b w:val="0"/>
          <w:sz w:val="24"/>
          <w:szCs w:val="24"/>
        </w:rPr>
        <w:t>L’Iliade: lo sviluppo della storia e degli avv</w:t>
      </w:r>
      <w:r w:rsidR="00FA5A8C">
        <w:rPr>
          <w:rFonts w:ascii="Palatino Linotype" w:hAnsi="Palatino Linotype"/>
          <w:b w:val="0"/>
          <w:sz w:val="24"/>
          <w:szCs w:val="24"/>
        </w:rPr>
        <w:t>enimenti.</w:t>
      </w:r>
      <w:r w:rsidR="003577AC">
        <w:rPr>
          <w:rFonts w:ascii="Palatino Linotype" w:hAnsi="Palatino Linotype"/>
          <w:b w:val="0"/>
          <w:sz w:val="24"/>
          <w:szCs w:val="24"/>
        </w:rPr>
        <w:t xml:space="preserve"> </w:t>
      </w:r>
      <w:r w:rsidR="004D1889">
        <w:rPr>
          <w:rFonts w:ascii="Palatino Linotype" w:hAnsi="Palatino Linotype"/>
          <w:b w:val="0"/>
          <w:sz w:val="24"/>
          <w:szCs w:val="24"/>
        </w:rPr>
        <w:t>Iliade, canto I, Proemio</w:t>
      </w:r>
      <w:r w:rsidR="00763A36" w:rsidRPr="00BD426E">
        <w:rPr>
          <w:rFonts w:ascii="Palatino Linotype" w:hAnsi="Palatino Linotype"/>
          <w:b w:val="0"/>
          <w:sz w:val="24"/>
          <w:szCs w:val="24"/>
        </w:rPr>
        <w:t xml:space="preserve">; </w:t>
      </w:r>
      <w:r w:rsidR="004D1889">
        <w:rPr>
          <w:rFonts w:ascii="Palatino Linotype" w:hAnsi="Palatino Linotype"/>
          <w:b w:val="0"/>
          <w:sz w:val="24"/>
          <w:szCs w:val="24"/>
        </w:rPr>
        <w:t>“Achille e Agamennone”</w:t>
      </w:r>
      <w:r w:rsidR="00FA5A8C">
        <w:rPr>
          <w:rFonts w:ascii="Palatino Linotype" w:hAnsi="Palatino Linotype"/>
          <w:b w:val="0"/>
          <w:sz w:val="24"/>
          <w:szCs w:val="24"/>
        </w:rPr>
        <w:t xml:space="preserve">; </w:t>
      </w:r>
      <w:r w:rsidR="00763A36" w:rsidRPr="00BD426E">
        <w:rPr>
          <w:rFonts w:ascii="Palatino Linotype" w:hAnsi="Palatino Linotype"/>
          <w:b w:val="0"/>
          <w:sz w:val="24"/>
          <w:szCs w:val="24"/>
        </w:rPr>
        <w:t>“</w:t>
      </w:r>
      <w:proofErr w:type="spellStart"/>
      <w:r w:rsidR="00763A36" w:rsidRPr="00BD426E">
        <w:rPr>
          <w:rFonts w:ascii="Palatino Linotype" w:hAnsi="Palatino Linotype"/>
          <w:b w:val="0"/>
          <w:sz w:val="24"/>
          <w:szCs w:val="24"/>
        </w:rPr>
        <w:t>Ter</w:t>
      </w:r>
      <w:r w:rsidR="00FA5A8C">
        <w:rPr>
          <w:rFonts w:ascii="Palatino Linotype" w:hAnsi="Palatino Linotype"/>
          <w:b w:val="0"/>
          <w:sz w:val="24"/>
          <w:szCs w:val="24"/>
        </w:rPr>
        <w:t>site</w:t>
      </w:r>
      <w:proofErr w:type="spellEnd"/>
      <w:r w:rsidR="00FA5A8C">
        <w:rPr>
          <w:rFonts w:ascii="Palatino Linotype" w:hAnsi="Palatino Linotype"/>
          <w:b w:val="0"/>
          <w:sz w:val="24"/>
          <w:szCs w:val="24"/>
        </w:rPr>
        <w:t xml:space="preserve"> e </w:t>
      </w:r>
      <w:proofErr w:type="spellStart"/>
      <w:r w:rsidR="00FA5A8C">
        <w:rPr>
          <w:rFonts w:ascii="Palatino Linotype" w:hAnsi="Palatino Linotype"/>
          <w:b w:val="0"/>
          <w:sz w:val="24"/>
          <w:szCs w:val="24"/>
        </w:rPr>
        <w:t>Odisseo</w:t>
      </w:r>
      <w:proofErr w:type="spellEnd"/>
      <w:r w:rsidR="00B40128" w:rsidRPr="00BD426E">
        <w:rPr>
          <w:rFonts w:ascii="Palatino Linotype" w:hAnsi="Palatino Linotype"/>
          <w:b w:val="0"/>
          <w:sz w:val="24"/>
          <w:szCs w:val="24"/>
        </w:rPr>
        <w:t>, canto II</w:t>
      </w:r>
      <w:r w:rsidR="00FA5A8C">
        <w:rPr>
          <w:rFonts w:ascii="Palatino Linotype" w:hAnsi="Palatino Linotype"/>
          <w:b w:val="0"/>
          <w:sz w:val="24"/>
          <w:szCs w:val="24"/>
        </w:rPr>
        <w:t>;</w:t>
      </w:r>
      <w:r w:rsidR="00763A36" w:rsidRPr="00BD426E">
        <w:rPr>
          <w:rFonts w:ascii="Palatino Linotype" w:hAnsi="Palatino Linotype"/>
          <w:b w:val="0"/>
          <w:sz w:val="24"/>
          <w:szCs w:val="24"/>
        </w:rPr>
        <w:t xml:space="preserve"> “</w:t>
      </w:r>
      <w:r w:rsidR="00B40128" w:rsidRPr="00BD426E">
        <w:rPr>
          <w:rFonts w:ascii="Palatino Linotype" w:hAnsi="Palatino Linotype"/>
          <w:b w:val="0"/>
          <w:sz w:val="24"/>
          <w:szCs w:val="24"/>
        </w:rPr>
        <w:t xml:space="preserve">Ettore e </w:t>
      </w:r>
      <w:proofErr w:type="spellStart"/>
      <w:r w:rsidR="00B40128" w:rsidRPr="00BD426E">
        <w:rPr>
          <w:rFonts w:ascii="Palatino Linotype" w:hAnsi="Palatino Linotype"/>
          <w:b w:val="0"/>
          <w:sz w:val="24"/>
          <w:szCs w:val="24"/>
        </w:rPr>
        <w:t>Andromaca</w:t>
      </w:r>
      <w:proofErr w:type="spellEnd"/>
      <w:r w:rsidR="00B40128" w:rsidRPr="00BD426E">
        <w:rPr>
          <w:rFonts w:ascii="Palatino Linotype" w:hAnsi="Palatino Linotype"/>
          <w:b w:val="0"/>
          <w:sz w:val="24"/>
          <w:szCs w:val="24"/>
        </w:rPr>
        <w:t xml:space="preserve">, canto </w:t>
      </w:r>
      <w:proofErr w:type="spellStart"/>
      <w:r w:rsidR="00B40128" w:rsidRPr="00BD426E">
        <w:rPr>
          <w:rFonts w:ascii="Palatino Linotype" w:hAnsi="Palatino Linotype"/>
          <w:b w:val="0"/>
          <w:sz w:val="24"/>
          <w:szCs w:val="24"/>
        </w:rPr>
        <w:t>VI</w:t>
      </w:r>
      <w:proofErr w:type="spellEnd"/>
      <w:r w:rsidR="000D28FC">
        <w:rPr>
          <w:rFonts w:ascii="Palatino Linotype" w:hAnsi="Palatino Linotype"/>
          <w:b w:val="0"/>
          <w:sz w:val="24"/>
          <w:szCs w:val="24"/>
        </w:rPr>
        <w:t xml:space="preserve">; “La morte di Ettore”, XXII; </w:t>
      </w:r>
      <w:r w:rsidR="00FA5A8C">
        <w:rPr>
          <w:rFonts w:ascii="Palatino Linotype" w:hAnsi="Palatino Linotype"/>
          <w:b w:val="0"/>
          <w:sz w:val="24"/>
          <w:szCs w:val="24"/>
        </w:rPr>
        <w:t>“</w:t>
      </w:r>
      <w:proofErr w:type="spellStart"/>
      <w:r w:rsidR="00FA5A8C">
        <w:rPr>
          <w:rFonts w:ascii="Palatino Linotype" w:hAnsi="Palatino Linotype"/>
          <w:b w:val="0"/>
          <w:sz w:val="24"/>
          <w:szCs w:val="24"/>
        </w:rPr>
        <w:t>Priamo</w:t>
      </w:r>
      <w:proofErr w:type="spellEnd"/>
      <w:r w:rsidR="00FA5A8C">
        <w:rPr>
          <w:rFonts w:ascii="Palatino Linotype" w:hAnsi="Palatino Linotype"/>
          <w:b w:val="0"/>
          <w:sz w:val="24"/>
          <w:szCs w:val="24"/>
        </w:rPr>
        <w:t xml:space="preserve"> nella tenda d</w:t>
      </w:r>
      <w:r w:rsidR="000D28FC">
        <w:rPr>
          <w:rFonts w:ascii="Palatino Linotype" w:hAnsi="Palatino Linotype"/>
          <w:b w:val="0"/>
          <w:sz w:val="24"/>
          <w:szCs w:val="24"/>
        </w:rPr>
        <w:t>i Achille”, XXIV.</w:t>
      </w:r>
      <w:r w:rsidR="003577AC">
        <w:rPr>
          <w:rFonts w:ascii="Palatino Linotype" w:hAnsi="Palatino Linotype"/>
          <w:b w:val="0"/>
          <w:sz w:val="24"/>
          <w:szCs w:val="24"/>
        </w:rPr>
        <w:t xml:space="preserve">   </w:t>
      </w:r>
      <w:r w:rsidR="00763A36" w:rsidRPr="00BD426E">
        <w:rPr>
          <w:rFonts w:ascii="Palatino Linotype" w:hAnsi="Palatino Linotype"/>
          <w:b w:val="0"/>
          <w:sz w:val="24"/>
          <w:szCs w:val="24"/>
        </w:rPr>
        <w:t>L’Odissea: temi, situazioni</w:t>
      </w:r>
      <w:r w:rsidR="000D28FC">
        <w:rPr>
          <w:rFonts w:ascii="Palatino Linotype" w:hAnsi="Palatino Linotype"/>
          <w:b w:val="0"/>
          <w:sz w:val="24"/>
          <w:szCs w:val="24"/>
        </w:rPr>
        <w:t>, personaggi. Canto I; “Ulisse e Calipso”, canto V;</w:t>
      </w:r>
      <w:r w:rsidR="009F1DC0">
        <w:rPr>
          <w:rFonts w:ascii="Palatino Linotype" w:hAnsi="Palatino Linotype"/>
          <w:b w:val="0"/>
          <w:sz w:val="24"/>
          <w:szCs w:val="24"/>
        </w:rPr>
        <w:t xml:space="preserve"> </w:t>
      </w:r>
      <w:r w:rsidR="00763A36" w:rsidRPr="00BD426E">
        <w:rPr>
          <w:rFonts w:ascii="Palatino Linotype" w:hAnsi="Palatino Linotype"/>
          <w:b w:val="0"/>
          <w:sz w:val="24"/>
          <w:szCs w:val="24"/>
        </w:rPr>
        <w:t xml:space="preserve">“Ulisse e </w:t>
      </w:r>
      <w:proofErr w:type="spellStart"/>
      <w:r w:rsidR="00763A36" w:rsidRPr="00BD426E">
        <w:rPr>
          <w:rFonts w:ascii="Palatino Linotype" w:hAnsi="Palatino Linotype"/>
          <w:b w:val="0"/>
          <w:sz w:val="24"/>
          <w:szCs w:val="24"/>
        </w:rPr>
        <w:t>Polifemo</w:t>
      </w:r>
      <w:proofErr w:type="spellEnd"/>
      <w:r w:rsidR="00763A36" w:rsidRPr="00BD426E">
        <w:rPr>
          <w:rFonts w:ascii="Palatino Linotype" w:hAnsi="Palatino Linotype"/>
          <w:b w:val="0"/>
          <w:sz w:val="24"/>
          <w:szCs w:val="24"/>
        </w:rPr>
        <w:t>”, can</w:t>
      </w:r>
      <w:r w:rsidR="00B40128" w:rsidRPr="00BD426E">
        <w:rPr>
          <w:rFonts w:ascii="Palatino Linotype" w:hAnsi="Palatino Linotype"/>
          <w:b w:val="0"/>
          <w:sz w:val="24"/>
          <w:szCs w:val="24"/>
        </w:rPr>
        <w:t>to IX</w:t>
      </w:r>
      <w:r w:rsidR="000D28FC">
        <w:rPr>
          <w:rFonts w:ascii="Palatino Linotype" w:hAnsi="Palatino Linotype"/>
          <w:b w:val="0"/>
          <w:sz w:val="24"/>
          <w:szCs w:val="24"/>
        </w:rPr>
        <w:t>.</w:t>
      </w:r>
    </w:p>
    <w:p w:rsidR="001019A5" w:rsidRPr="00BD426E" w:rsidRDefault="00763A36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Eneide: temi, personaggi</w:t>
      </w:r>
      <w:r w:rsidR="00CF7863" w:rsidRPr="00BD426E">
        <w:rPr>
          <w:rFonts w:ascii="Palatino Linotype" w:hAnsi="Palatino Linotype"/>
          <w:b w:val="0"/>
          <w:sz w:val="24"/>
          <w:szCs w:val="24"/>
        </w:rPr>
        <w:t>, peculiarità, rapporto con la tradizione omerica. Il significato della leggenda di Enea nella propaganda politic</w:t>
      </w:r>
      <w:r w:rsidR="000D28FC">
        <w:rPr>
          <w:rFonts w:ascii="Palatino Linotype" w:hAnsi="Palatino Linotype"/>
          <w:b w:val="0"/>
          <w:sz w:val="24"/>
          <w:szCs w:val="24"/>
        </w:rPr>
        <w:t>a romana e augustea.</w:t>
      </w:r>
    </w:p>
    <w:p w:rsidR="00396AA7" w:rsidRPr="00BD426E" w:rsidRDefault="00396AA7" w:rsidP="00A212B7">
      <w:pPr>
        <w:pStyle w:val="Titolo"/>
        <w:jc w:val="both"/>
        <w:rPr>
          <w:rFonts w:ascii="Palatino Linotype" w:hAnsi="Palatino Linotype"/>
          <w:b w:val="0"/>
          <w:sz w:val="24"/>
          <w:szCs w:val="24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N. B. nel corso dell’anno scolastico gli allievi ha</w:t>
      </w:r>
      <w:r w:rsidR="00B40128" w:rsidRPr="00BD426E">
        <w:rPr>
          <w:rFonts w:ascii="Palatino Linotype" w:hAnsi="Palatino Linotype"/>
          <w:b w:val="0"/>
          <w:sz w:val="24"/>
          <w:szCs w:val="24"/>
        </w:rPr>
        <w:t>nn</w:t>
      </w:r>
      <w:r w:rsidR="004038FD">
        <w:rPr>
          <w:rFonts w:ascii="Palatino Linotype" w:hAnsi="Palatino Linotype"/>
          <w:b w:val="0"/>
          <w:sz w:val="24"/>
          <w:szCs w:val="24"/>
        </w:rPr>
        <w:t>o letto individualmente i seguenti</w:t>
      </w:r>
      <w:r w:rsidRPr="00BD426E">
        <w:rPr>
          <w:rFonts w:ascii="Palatino Linotype" w:hAnsi="Palatino Linotype"/>
          <w:b w:val="0"/>
          <w:sz w:val="24"/>
          <w:szCs w:val="24"/>
        </w:rPr>
        <w:t xml:space="preserve"> testi</w:t>
      </w:r>
      <w:r w:rsidR="006A696F" w:rsidRPr="00BD426E">
        <w:rPr>
          <w:rFonts w:ascii="Palatino Linotype" w:hAnsi="Palatino Linotype"/>
          <w:b w:val="0"/>
          <w:sz w:val="24"/>
          <w:szCs w:val="24"/>
        </w:rPr>
        <w:t xml:space="preserve"> (romanzi e racconti) </w:t>
      </w:r>
      <w:r w:rsidRPr="00BD426E">
        <w:rPr>
          <w:rFonts w:ascii="Palatino Linotype" w:hAnsi="Palatino Linotype"/>
          <w:b w:val="0"/>
          <w:sz w:val="24"/>
          <w:szCs w:val="24"/>
        </w:rPr>
        <w:t>concordati con l’insegnante</w:t>
      </w:r>
      <w:r w:rsidR="004038FD">
        <w:rPr>
          <w:rFonts w:ascii="Palatino Linotype" w:hAnsi="Palatino Linotype"/>
          <w:b w:val="0"/>
          <w:sz w:val="24"/>
          <w:szCs w:val="24"/>
        </w:rPr>
        <w:t xml:space="preserve">: </w:t>
      </w:r>
      <w:r w:rsidR="0048688D">
        <w:rPr>
          <w:rFonts w:ascii="Palatino Linotype" w:hAnsi="Palatino Linotype"/>
          <w:b w:val="0"/>
          <w:sz w:val="24"/>
          <w:szCs w:val="24"/>
        </w:rPr>
        <w:t>“Il sistema periodico”;</w:t>
      </w:r>
      <w:r w:rsidR="004038FD">
        <w:rPr>
          <w:rFonts w:ascii="Palatino Linotype" w:hAnsi="Palatino Linotype"/>
          <w:b w:val="0"/>
          <w:sz w:val="24"/>
          <w:szCs w:val="24"/>
        </w:rPr>
        <w:t>“La favola di Amore e Psiche”; “Lo</w:t>
      </w:r>
      <w:r w:rsidR="008A105B">
        <w:rPr>
          <w:rFonts w:ascii="Palatino Linotype" w:hAnsi="Palatino Linotype"/>
          <w:b w:val="0"/>
          <w:sz w:val="24"/>
          <w:szCs w:val="24"/>
        </w:rPr>
        <w:t xml:space="preserve"> </w:t>
      </w:r>
      <w:r w:rsidR="004038FD">
        <w:rPr>
          <w:rFonts w:ascii="Palatino Linotype" w:hAnsi="Palatino Linotype"/>
          <w:b w:val="0"/>
          <w:sz w:val="24"/>
          <w:szCs w:val="24"/>
        </w:rPr>
        <w:t xml:space="preserve">scudo di </w:t>
      </w:r>
      <w:proofErr w:type="spellStart"/>
      <w:r w:rsidR="004038FD">
        <w:rPr>
          <w:rFonts w:ascii="Palatino Linotype" w:hAnsi="Palatino Linotype"/>
          <w:b w:val="0"/>
          <w:sz w:val="24"/>
          <w:szCs w:val="24"/>
        </w:rPr>
        <w:t>Talos</w:t>
      </w:r>
      <w:proofErr w:type="spellEnd"/>
      <w:r w:rsidR="004038FD">
        <w:rPr>
          <w:rFonts w:ascii="Palatino Linotype" w:hAnsi="Palatino Linotype"/>
          <w:b w:val="0"/>
          <w:sz w:val="24"/>
          <w:szCs w:val="24"/>
        </w:rPr>
        <w:t xml:space="preserve">”; “Il visconte dimezzato”; </w:t>
      </w:r>
      <w:r w:rsidR="008A105B">
        <w:rPr>
          <w:rFonts w:ascii="Palatino Linotype" w:hAnsi="Palatino Linotype"/>
          <w:b w:val="0"/>
          <w:sz w:val="24"/>
          <w:szCs w:val="24"/>
        </w:rPr>
        <w:t>“</w:t>
      </w:r>
      <w:r w:rsidR="004038FD">
        <w:rPr>
          <w:rFonts w:ascii="Palatino Linotype" w:hAnsi="Palatino Linotype"/>
          <w:b w:val="0"/>
          <w:sz w:val="24"/>
          <w:szCs w:val="24"/>
        </w:rPr>
        <w:t xml:space="preserve">William Wilson”; “Dottor </w:t>
      </w:r>
      <w:proofErr w:type="spellStart"/>
      <w:r w:rsidR="004038FD">
        <w:rPr>
          <w:rFonts w:ascii="Palatino Linotype" w:hAnsi="Palatino Linotype"/>
          <w:b w:val="0"/>
          <w:sz w:val="24"/>
          <w:szCs w:val="24"/>
        </w:rPr>
        <w:t>Jeckill</w:t>
      </w:r>
      <w:proofErr w:type="spellEnd"/>
      <w:r w:rsidR="004038FD">
        <w:rPr>
          <w:rFonts w:ascii="Palatino Linotype" w:hAnsi="Palatino Linotype"/>
          <w:b w:val="0"/>
          <w:sz w:val="24"/>
          <w:szCs w:val="24"/>
        </w:rPr>
        <w:t xml:space="preserve"> e Mr. </w:t>
      </w:r>
      <w:proofErr w:type="spellStart"/>
      <w:r w:rsidR="004038FD">
        <w:rPr>
          <w:rFonts w:ascii="Palatino Linotype" w:hAnsi="Palatino Linotype"/>
          <w:b w:val="0"/>
          <w:sz w:val="24"/>
          <w:szCs w:val="24"/>
        </w:rPr>
        <w:t>Hide</w:t>
      </w:r>
      <w:proofErr w:type="spellEnd"/>
      <w:r w:rsidR="004038FD">
        <w:rPr>
          <w:rFonts w:ascii="Palatino Linotype" w:hAnsi="Palatino Linotype"/>
          <w:b w:val="0"/>
          <w:sz w:val="24"/>
          <w:szCs w:val="24"/>
        </w:rPr>
        <w:t xml:space="preserve">”; “Il ritratto di </w:t>
      </w:r>
      <w:proofErr w:type="spellStart"/>
      <w:r w:rsidR="004038FD">
        <w:rPr>
          <w:rFonts w:ascii="Palatino Linotype" w:hAnsi="Palatino Linotype"/>
          <w:b w:val="0"/>
          <w:sz w:val="24"/>
          <w:szCs w:val="24"/>
        </w:rPr>
        <w:t>Dorian</w:t>
      </w:r>
      <w:proofErr w:type="spellEnd"/>
      <w:r w:rsidR="004038FD">
        <w:rPr>
          <w:rFonts w:ascii="Palatino Linotype" w:hAnsi="Palatino Linotype"/>
          <w:b w:val="0"/>
          <w:sz w:val="24"/>
          <w:szCs w:val="24"/>
        </w:rPr>
        <w:t xml:space="preserve"> </w:t>
      </w:r>
      <w:proofErr w:type="spellStart"/>
      <w:r w:rsidR="004038FD">
        <w:rPr>
          <w:rFonts w:ascii="Palatino Linotype" w:hAnsi="Palatino Linotype"/>
          <w:b w:val="0"/>
          <w:sz w:val="24"/>
          <w:szCs w:val="24"/>
        </w:rPr>
        <w:t>Gra</w:t>
      </w:r>
      <w:r w:rsidR="008A105B">
        <w:rPr>
          <w:rFonts w:ascii="Palatino Linotype" w:hAnsi="Palatino Linotype"/>
          <w:b w:val="0"/>
          <w:sz w:val="24"/>
          <w:szCs w:val="24"/>
        </w:rPr>
        <w:t>y</w:t>
      </w:r>
      <w:proofErr w:type="spellEnd"/>
      <w:r w:rsidR="008A105B">
        <w:rPr>
          <w:rFonts w:ascii="Palatino Linotype" w:hAnsi="Palatino Linotype"/>
          <w:b w:val="0"/>
          <w:sz w:val="24"/>
          <w:szCs w:val="24"/>
        </w:rPr>
        <w:t>”;</w:t>
      </w:r>
      <w:r w:rsidRPr="00BD426E">
        <w:rPr>
          <w:rFonts w:ascii="Palatino Linotype" w:hAnsi="Palatino Linotype"/>
          <w:b w:val="0"/>
          <w:sz w:val="24"/>
          <w:szCs w:val="24"/>
        </w:rPr>
        <w:t xml:space="preserve"> e li hanno recensiti nel corso di verifiche scritte e orali.</w:t>
      </w:r>
    </w:p>
    <w:p w:rsidR="00006B5A" w:rsidRPr="00396AA7" w:rsidRDefault="00006B5A" w:rsidP="00A212B7">
      <w:pPr>
        <w:pStyle w:val="Titolo"/>
        <w:jc w:val="both"/>
        <w:rPr>
          <w:rFonts w:ascii="Palatino Linotype" w:hAnsi="Palatino Linotype"/>
          <w:b w:val="0"/>
          <w:szCs w:val="28"/>
        </w:rPr>
      </w:pPr>
      <w:r w:rsidRPr="00BD426E">
        <w:rPr>
          <w:rFonts w:ascii="Palatino Linotype" w:hAnsi="Palatino Linotype"/>
          <w:b w:val="0"/>
          <w:sz w:val="24"/>
          <w:szCs w:val="24"/>
        </w:rPr>
        <w:t>L’insegnante</w:t>
      </w:r>
      <w:r>
        <w:rPr>
          <w:rFonts w:ascii="Palatino Linotype" w:hAnsi="Palatino Linotype"/>
          <w:b w:val="0"/>
          <w:szCs w:val="28"/>
        </w:rPr>
        <w:t xml:space="preserve">                                                                                  </w:t>
      </w:r>
      <w:r w:rsidR="000D28FC">
        <w:rPr>
          <w:rFonts w:ascii="Palatino Linotype" w:hAnsi="Palatino Linotype"/>
          <w:b w:val="0"/>
          <w:szCs w:val="28"/>
        </w:rPr>
        <w:t xml:space="preserve">            </w:t>
      </w:r>
      <w:r>
        <w:rPr>
          <w:rFonts w:ascii="Palatino Linotype" w:hAnsi="Palatino Linotype"/>
          <w:b w:val="0"/>
          <w:szCs w:val="28"/>
        </w:rPr>
        <w:t xml:space="preserve"> </w:t>
      </w:r>
      <w:r w:rsidRPr="00BD426E">
        <w:rPr>
          <w:rFonts w:ascii="Palatino Linotype" w:hAnsi="Palatino Linotype"/>
          <w:b w:val="0"/>
          <w:sz w:val="24"/>
          <w:szCs w:val="24"/>
        </w:rPr>
        <w:t>Gli allievi</w:t>
      </w:r>
    </w:p>
    <w:p w:rsidR="00A212B7" w:rsidRDefault="00A212B7" w:rsidP="00A212B7">
      <w:pPr>
        <w:pStyle w:val="Titolo"/>
        <w:jc w:val="both"/>
        <w:rPr>
          <w:rFonts w:ascii="Palatino Linotype" w:hAnsi="Palatino Linotype"/>
          <w:szCs w:val="28"/>
        </w:rPr>
      </w:pPr>
    </w:p>
    <w:p w:rsidR="00A212B7" w:rsidRPr="00015ED0" w:rsidRDefault="00A212B7" w:rsidP="00A212B7">
      <w:pPr>
        <w:pStyle w:val="Titolo"/>
        <w:jc w:val="both"/>
        <w:rPr>
          <w:rFonts w:ascii="Palatino Linotype" w:hAnsi="Palatino Linotype"/>
          <w:szCs w:val="28"/>
        </w:rPr>
      </w:pPr>
    </w:p>
    <w:p w:rsidR="00A212B7" w:rsidRPr="00015ED0" w:rsidRDefault="00A212B7" w:rsidP="00A212B7">
      <w:pPr>
        <w:pStyle w:val="Titolo"/>
        <w:jc w:val="both"/>
        <w:rPr>
          <w:rFonts w:ascii="Palatino Linotype" w:hAnsi="Palatino Linotype"/>
          <w:szCs w:val="28"/>
        </w:rPr>
      </w:pPr>
    </w:p>
    <w:p w:rsidR="00BE086A" w:rsidRDefault="00BE086A"/>
    <w:sectPr w:rsidR="00BE086A" w:rsidSect="00BE08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A212B7"/>
    <w:rsid w:val="00006B5A"/>
    <w:rsid w:val="000A7713"/>
    <w:rsid w:val="000D28FC"/>
    <w:rsid w:val="001019A5"/>
    <w:rsid w:val="00226CCE"/>
    <w:rsid w:val="002424BB"/>
    <w:rsid w:val="002F1F13"/>
    <w:rsid w:val="002F54D3"/>
    <w:rsid w:val="00320098"/>
    <w:rsid w:val="003577AC"/>
    <w:rsid w:val="00370777"/>
    <w:rsid w:val="00396AA7"/>
    <w:rsid w:val="004038FD"/>
    <w:rsid w:val="00440C8C"/>
    <w:rsid w:val="004616D0"/>
    <w:rsid w:val="0048688D"/>
    <w:rsid w:val="004C1859"/>
    <w:rsid w:val="004D0FC8"/>
    <w:rsid w:val="004D1889"/>
    <w:rsid w:val="00522A40"/>
    <w:rsid w:val="00531CBD"/>
    <w:rsid w:val="005F6673"/>
    <w:rsid w:val="00647933"/>
    <w:rsid w:val="006A696F"/>
    <w:rsid w:val="006B1B76"/>
    <w:rsid w:val="007528D0"/>
    <w:rsid w:val="00762D76"/>
    <w:rsid w:val="00763A36"/>
    <w:rsid w:val="007B0CAC"/>
    <w:rsid w:val="00847389"/>
    <w:rsid w:val="008541BA"/>
    <w:rsid w:val="008A105B"/>
    <w:rsid w:val="00933693"/>
    <w:rsid w:val="009A48A4"/>
    <w:rsid w:val="009C72AA"/>
    <w:rsid w:val="009F1DC0"/>
    <w:rsid w:val="00A212B7"/>
    <w:rsid w:val="00A3678D"/>
    <w:rsid w:val="00A94C7C"/>
    <w:rsid w:val="00B40128"/>
    <w:rsid w:val="00B41BFA"/>
    <w:rsid w:val="00BD426E"/>
    <w:rsid w:val="00BE086A"/>
    <w:rsid w:val="00CD5E32"/>
    <w:rsid w:val="00CF7863"/>
    <w:rsid w:val="00D828E4"/>
    <w:rsid w:val="00FA5A8C"/>
    <w:rsid w:val="00FC4F93"/>
    <w:rsid w:val="00FD7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12B7"/>
    <w:pPr>
      <w:spacing w:after="0" w:line="240" w:lineRule="auto"/>
    </w:pPr>
    <w:rPr>
      <w:rFonts w:ascii="Comic Sans MS" w:eastAsia="Times New Roman" w:hAnsi="Comic Sans MS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A212B7"/>
    <w:pPr>
      <w:jc w:val="center"/>
    </w:pPr>
    <w:rPr>
      <w:rFonts w:ascii="Times New Roman" w:hAnsi="Times New Roman"/>
      <w:b/>
      <w:sz w:val="28"/>
    </w:rPr>
  </w:style>
  <w:style w:type="character" w:customStyle="1" w:styleId="TitoloCarattere">
    <w:name w:val="Titolo Carattere"/>
    <w:basedOn w:val="Carpredefinitoparagrafo"/>
    <w:link w:val="Titolo"/>
    <w:rsid w:val="00A212B7"/>
    <w:rPr>
      <w:rFonts w:ascii="Times New Roman" w:eastAsia="Times New Roman" w:hAnsi="Times New Roman" w:cs="Times New Roman"/>
      <w:b/>
      <w:sz w:val="28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2012-06-02T07:46:00Z</cp:lastPrinted>
  <dcterms:created xsi:type="dcterms:W3CDTF">2014-05-02T06:50:00Z</dcterms:created>
  <dcterms:modified xsi:type="dcterms:W3CDTF">2014-06-02T14:52:00Z</dcterms:modified>
</cp:coreProperties>
</file>